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7A7C0" w14:textId="53F0F681" w:rsidR="000C5300" w:rsidRPr="00A26B0D" w:rsidRDefault="000F66BF" w:rsidP="000F66BF">
      <w:pPr>
        <w:pStyle w:val="Title"/>
        <w:tabs>
          <w:tab w:val="center" w:pos="4680"/>
        </w:tabs>
        <w:rPr>
          <w:sz w:val="32"/>
          <w:szCs w:val="32"/>
        </w:rPr>
      </w:pPr>
      <w:bookmarkStart w:id="0" w:name="_Hlk49598997"/>
      <w:r>
        <w:rPr>
          <w:noProof/>
        </w:rPr>
        <w:drawing>
          <wp:anchor distT="0" distB="0" distL="114300" distR="114300" simplePos="0" relativeHeight="251658240" behindDoc="0" locked="0" layoutInCell="1" allowOverlap="1" wp14:anchorId="5B31A129" wp14:editId="6F648357">
            <wp:simplePos x="0" y="0"/>
            <wp:positionH relativeFrom="column">
              <wp:posOffset>0</wp:posOffset>
            </wp:positionH>
            <wp:positionV relativeFrom="page">
              <wp:posOffset>885825</wp:posOffset>
            </wp:positionV>
            <wp:extent cx="561975" cy="843280"/>
            <wp:effectExtent l="0" t="0" r="9525" b="0"/>
            <wp:wrapThrough wrapText="bothSides">
              <wp:wrapPolygon edited="0">
                <wp:start x="0" y="0"/>
                <wp:lineTo x="0" y="20982"/>
                <wp:lineTo x="21234" y="20982"/>
                <wp:lineTo x="21234"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4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FCB" w:rsidRPr="00A26B0D">
        <w:rPr>
          <w:sz w:val="32"/>
          <w:szCs w:val="32"/>
        </w:rPr>
        <w:t xml:space="preserve">School District No. </w:t>
      </w:r>
      <w:r w:rsidR="00AE4C21">
        <w:rPr>
          <w:sz w:val="32"/>
          <w:szCs w:val="32"/>
        </w:rPr>
        <w:t>92</w:t>
      </w:r>
      <w:r w:rsidR="00930FCB" w:rsidRPr="00A26B0D">
        <w:rPr>
          <w:sz w:val="32"/>
          <w:szCs w:val="32"/>
        </w:rPr>
        <w:t xml:space="preserve"> (</w:t>
      </w:r>
      <w:r>
        <w:rPr>
          <w:sz w:val="32"/>
          <w:szCs w:val="32"/>
        </w:rPr>
        <w:t>NISGA’A</w:t>
      </w:r>
      <w:r w:rsidR="00930FCB" w:rsidRPr="00A26B0D">
        <w:rPr>
          <w:sz w:val="32"/>
          <w:szCs w:val="32"/>
        </w:rPr>
        <w:t>)</w:t>
      </w:r>
    </w:p>
    <w:p w14:paraId="3335B25E" w14:textId="77777777" w:rsidR="000F66BF" w:rsidRDefault="00143987" w:rsidP="000F66BF">
      <w:pPr>
        <w:pStyle w:val="Title"/>
        <w:rPr>
          <w:sz w:val="32"/>
          <w:szCs w:val="32"/>
        </w:rPr>
      </w:pPr>
      <w:r w:rsidRPr="00A26B0D">
        <w:rPr>
          <w:sz w:val="32"/>
          <w:szCs w:val="32"/>
        </w:rPr>
        <w:t>Discussion &amp; Analysis</w:t>
      </w:r>
      <w:r w:rsidR="00C837DA" w:rsidRPr="00A26B0D">
        <w:rPr>
          <w:sz w:val="32"/>
          <w:szCs w:val="32"/>
        </w:rPr>
        <w:t xml:space="preserve"> of Financial </w:t>
      </w:r>
      <w:r w:rsidR="000F66BF">
        <w:rPr>
          <w:sz w:val="32"/>
          <w:szCs w:val="32"/>
        </w:rPr>
        <w:t>S</w:t>
      </w:r>
      <w:r w:rsidR="00C837DA" w:rsidRPr="00A26B0D">
        <w:rPr>
          <w:sz w:val="32"/>
          <w:szCs w:val="32"/>
        </w:rPr>
        <w:t>tatement</w:t>
      </w:r>
      <w:r w:rsidR="000F66BF">
        <w:rPr>
          <w:sz w:val="32"/>
          <w:szCs w:val="32"/>
        </w:rPr>
        <w:t xml:space="preserve">S </w:t>
      </w:r>
      <w:r w:rsidRPr="00A26B0D">
        <w:rPr>
          <w:sz w:val="32"/>
          <w:szCs w:val="32"/>
        </w:rPr>
        <w:t>For the Year Ended</w:t>
      </w:r>
    </w:p>
    <w:p w14:paraId="6B66CBAD" w14:textId="60991548" w:rsidR="00143987" w:rsidRDefault="00143987" w:rsidP="000F66BF">
      <w:pPr>
        <w:pStyle w:val="Title"/>
        <w:rPr>
          <w:sz w:val="32"/>
          <w:szCs w:val="32"/>
        </w:rPr>
      </w:pPr>
      <w:r w:rsidRPr="00A26B0D">
        <w:rPr>
          <w:sz w:val="32"/>
          <w:szCs w:val="32"/>
        </w:rPr>
        <w:t>June 30, 20</w:t>
      </w:r>
      <w:r w:rsidR="002A4CA0" w:rsidRPr="00A26B0D">
        <w:rPr>
          <w:sz w:val="32"/>
          <w:szCs w:val="32"/>
        </w:rPr>
        <w:t>2</w:t>
      </w:r>
      <w:r w:rsidR="00376407">
        <w:rPr>
          <w:sz w:val="32"/>
          <w:szCs w:val="32"/>
        </w:rPr>
        <w:t>4</w:t>
      </w:r>
    </w:p>
    <w:p w14:paraId="7DAAB0ED" w14:textId="77777777" w:rsidR="00376407" w:rsidRPr="00376407" w:rsidRDefault="00376407" w:rsidP="00376407"/>
    <w:bookmarkEnd w:id="0"/>
    <w:p w14:paraId="7ADE1F54" w14:textId="19D4839E" w:rsidR="009B0D8C" w:rsidRDefault="009B0D8C" w:rsidP="00C902BA">
      <w:pPr>
        <w:pStyle w:val="Subtitle"/>
        <w:rPr>
          <w:lang w:val="en-CA"/>
        </w:rPr>
      </w:pPr>
    </w:p>
    <w:p w14:paraId="514A9FB8" w14:textId="1DF729D6" w:rsidR="00C04F34" w:rsidRPr="00C04F34" w:rsidRDefault="0094397A">
      <w:pPr>
        <w:pStyle w:val="TOC1"/>
        <w:tabs>
          <w:tab w:val="right" w:pos="9350"/>
        </w:tabs>
        <w:rPr>
          <w:rFonts w:cstheme="minorBidi"/>
          <w:b w:val="0"/>
          <w:bCs w:val="0"/>
          <w:noProof/>
          <w:sz w:val="22"/>
          <w:szCs w:val="22"/>
          <w:lang w:val="en-CA" w:eastAsia="en-CA"/>
        </w:rPr>
      </w:pPr>
      <w:r>
        <w:rPr>
          <w:rStyle w:val="Emphasis"/>
        </w:rPr>
        <w:fldChar w:fldCharType="begin"/>
      </w:r>
      <w:r>
        <w:rPr>
          <w:rStyle w:val="Emphasis"/>
        </w:rPr>
        <w:instrText xml:space="preserve"> TOC \o "1-3" \u </w:instrText>
      </w:r>
      <w:r>
        <w:rPr>
          <w:rStyle w:val="Emphasis"/>
        </w:rPr>
        <w:fldChar w:fldCharType="separate"/>
      </w:r>
      <w:r w:rsidR="00C04F34" w:rsidRPr="00C04F34">
        <w:rPr>
          <w:b w:val="0"/>
          <w:bCs w:val="0"/>
          <w:noProof/>
          <w:lang w:val="en-CA"/>
        </w:rPr>
        <w:t>DISTRICT OVERVIEW</w:t>
      </w:r>
      <w:r w:rsidR="00C04F34" w:rsidRPr="00C04F34">
        <w:rPr>
          <w:b w:val="0"/>
          <w:bCs w:val="0"/>
          <w:noProof/>
        </w:rPr>
        <w:tab/>
      </w:r>
      <w:r w:rsidR="00C04F34" w:rsidRPr="00C04F34">
        <w:rPr>
          <w:b w:val="0"/>
          <w:bCs w:val="0"/>
          <w:noProof/>
        </w:rPr>
        <w:fldChar w:fldCharType="begin"/>
      </w:r>
      <w:r w:rsidR="00C04F34" w:rsidRPr="00C04F34">
        <w:rPr>
          <w:b w:val="0"/>
          <w:bCs w:val="0"/>
          <w:noProof/>
        </w:rPr>
        <w:instrText xml:space="preserve"> PAGEREF _Toc51594521 \h </w:instrText>
      </w:r>
      <w:r w:rsidR="00C04F34" w:rsidRPr="00C04F34">
        <w:rPr>
          <w:b w:val="0"/>
          <w:bCs w:val="0"/>
          <w:noProof/>
        </w:rPr>
      </w:r>
      <w:r w:rsidR="00C04F34" w:rsidRPr="00C04F34">
        <w:rPr>
          <w:b w:val="0"/>
          <w:bCs w:val="0"/>
          <w:noProof/>
        </w:rPr>
        <w:fldChar w:fldCharType="separate"/>
      </w:r>
      <w:r w:rsidR="00C32682">
        <w:rPr>
          <w:b w:val="0"/>
          <w:bCs w:val="0"/>
          <w:noProof/>
        </w:rPr>
        <w:t>2</w:t>
      </w:r>
      <w:r w:rsidR="00C04F34" w:rsidRPr="00C04F34">
        <w:rPr>
          <w:b w:val="0"/>
          <w:bCs w:val="0"/>
          <w:noProof/>
        </w:rPr>
        <w:fldChar w:fldCharType="end"/>
      </w:r>
    </w:p>
    <w:p w14:paraId="36DE2B0A" w14:textId="3B65EFEB" w:rsidR="00C04F34" w:rsidRPr="00C04F34" w:rsidRDefault="00C04F34">
      <w:pPr>
        <w:pStyle w:val="TOC1"/>
        <w:tabs>
          <w:tab w:val="right" w:pos="9350"/>
        </w:tabs>
        <w:rPr>
          <w:rFonts w:cstheme="minorBidi"/>
          <w:b w:val="0"/>
          <w:bCs w:val="0"/>
          <w:noProof/>
          <w:sz w:val="22"/>
          <w:szCs w:val="22"/>
          <w:lang w:val="en-CA" w:eastAsia="en-CA"/>
        </w:rPr>
      </w:pPr>
      <w:r w:rsidRPr="00C04F34">
        <w:rPr>
          <w:b w:val="0"/>
          <w:bCs w:val="0"/>
          <w:noProof/>
          <w:lang w:val="en-CA"/>
        </w:rPr>
        <w:t>OUR UNIQUE RELATIONSHIP</w:t>
      </w:r>
      <w:r w:rsidRPr="00C04F34">
        <w:rPr>
          <w:b w:val="0"/>
          <w:bCs w:val="0"/>
          <w:noProof/>
        </w:rPr>
        <w:tab/>
      </w:r>
      <w:r w:rsidRPr="00C04F34">
        <w:rPr>
          <w:b w:val="0"/>
          <w:bCs w:val="0"/>
          <w:noProof/>
        </w:rPr>
        <w:fldChar w:fldCharType="begin"/>
      </w:r>
      <w:r w:rsidRPr="00C04F34">
        <w:rPr>
          <w:b w:val="0"/>
          <w:bCs w:val="0"/>
          <w:noProof/>
        </w:rPr>
        <w:instrText xml:space="preserve"> PAGEREF _Toc51594522 \h </w:instrText>
      </w:r>
      <w:r w:rsidRPr="00C04F34">
        <w:rPr>
          <w:b w:val="0"/>
          <w:bCs w:val="0"/>
          <w:noProof/>
        </w:rPr>
      </w:r>
      <w:r w:rsidRPr="00C04F34">
        <w:rPr>
          <w:b w:val="0"/>
          <w:bCs w:val="0"/>
          <w:noProof/>
        </w:rPr>
        <w:fldChar w:fldCharType="separate"/>
      </w:r>
      <w:r w:rsidR="00C32682">
        <w:rPr>
          <w:b w:val="0"/>
          <w:bCs w:val="0"/>
          <w:noProof/>
        </w:rPr>
        <w:t>2</w:t>
      </w:r>
      <w:r w:rsidRPr="00C04F34">
        <w:rPr>
          <w:b w:val="0"/>
          <w:bCs w:val="0"/>
          <w:noProof/>
        </w:rPr>
        <w:fldChar w:fldCharType="end"/>
      </w:r>
    </w:p>
    <w:p w14:paraId="0425E645" w14:textId="50B9CDC7" w:rsidR="00C04F34" w:rsidRPr="00C04F34" w:rsidRDefault="00C04F34">
      <w:pPr>
        <w:pStyle w:val="TOC1"/>
        <w:tabs>
          <w:tab w:val="right" w:pos="9350"/>
        </w:tabs>
        <w:rPr>
          <w:rFonts w:cstheme="minorBidi"/>
          <w:b w:val="0"/>
          <w:bCs w:val="0"/>
          <w:noProof/>
          <w:sz w:val="22"/>
          <w:szCs w:val="22"/>
          <w:lang w:val="en-CA" w:eastAsia="en-CA"/>
        </w:rPr>
      </w:pPr>
      <w:r w:rsidRPr="00C04F34">
        <w:rPr>
          <w:b w:val="0"/>
          <w:bCs w:val="0"/>
          <w:noProof/>
          <w:lang w:val="en-CA"/>
        </w:rPr>
        <w:t>UNDERSTANDING SCHOOL DISTRICT FINANCIAL PERFORMANCE</w:t>
      </w:r>
      <w:r w:rsidRPr="00C04F34">
        <w:rPr>
          <w:b w:val="0"/>
          <w:bCs w:val="0"/>
          <w:noProof/>
        </w:rPr>
        <w:tab/>
      </w:r>
      <w:r w:rsidRPr="00C04F34">
        <w:rPr>
          <w:b w:val="0"/>
          <w:bCs w:val="0"/>
          <w:noProof/>
        </w:rPr>
        <w:fldChar w:fldCharType="begin"/>
      </w:r>
      <w:r w:rsidRPr="00C04F34">
        <w:rPr>
          <w:b w:val="0"/>
          <w:bCs w:val="0"/>
          <w:noProof/>
        </w:rPr>
        <w:instrText xml:space="preserve"> PAGEREF _Toc51594523 \h </w:instrText>
      </w:r>
      <w:r w:rsidRPr="00C04F34">
        <w:rPr>
          <w:b w:val="0"/>
          <w:bCs w:val="0"/>
          <w:noProof/>
        </w:rPr>
      </w:r>
      <w:r w:rsidRPr="00C04F34">
        <w:rPr>
          <w:b w:val="0"/>
          <w:bCs w:val="0"/>
          <w:noProof/>
        </w:rPr>
        <w:fldChar w:fldCharType="separate"/>
      </w:r>
      <w:r w:rsidR="00C32682">
        <w:rPr>
          <w:b w:val="0"/>
          <w:bCs w:val="0"/>
          <w:noProof/>
        </w:rPr>
        <w:t>3</w:t>
      </w:r>
      <w:r w:rsidRPr="00C04F34">
        <w:rPr>
          <w:b w:val="0"/>
          <w:bCs w:val="0"/>
          <w:noProof/>
        </w:rPr>
        <w:fldChar w:fldCharType="end"/>
      </w:r>
    </w:p>
    <w:p w14:paraId="3CFF8B0E" w14:textId="4FD6E0B7" w:rsidR="00C04F34" w:rsidRPr="00C04F34" w:rsidRDefault="00C04F34">
      <w:pPr>
        <w:pStyle w:val="TOC3"/>
        <w:tabs>
          <w:tab w:val="right" w:pos="9350"/>
        </w:tabs>
        <w:rPr>
          <w:rFonts w:cstheme="minorBidi"/>
          <w:noProof/>
          <w:sz w:val="22"/>
          <w:szCs w:val="22"/>
          <w:lang w:val="en-CA" w:eastAsia="en-CA"/>
        </w:rPr>
      </w:pPr>
      <w:r w:rsidRPr="00C04F34">
        <w:rPr>
          <w:noProof/>
        </w:rPr>
        <w:t>Operating Funds</w:t>
      </w:r>
      <w:r w:rsidRPr="00C04F34">
        <w:rPr>
          <w:noProof/>
        </w:rPr>
        <w:tab/>
      </w:r>
      <w:r w:rsidRPr="00C04F34">
        <w:rPr>
          <w:noProof/>
        </w:rPr>
        <w:fldChar w:fldCharType="begin"/>
      </w:r>
      <w:r w:rsidRPr="00C04F34">
        <w:rPr>
          <w:noProof/>
        </w:rPr>
        <w:instrText xml:space="preserve"> PAGEREF _Toc51594524 \h </w:instrText>
      </w:r>
      <w:r w:rsidRPr="00C04F34">
        <w:rPr>
          <w:noProof/>
        </w:rPr>
      </w:r>
      <w:r w:rsidRPr="00C04F34">
        <w:rPr>
          <w:noProof/>
        </w:rPr>
        <w:fldChar w:fldCharType="separate"/>
      </w:r>
      <w:r w:rsidR="00C32682">
        <w:rPr>
          <w:noProof/>
        </w:rPr>
        <w:t>3</w:t>
      </w:r>
      <w:r w:rsidRPr="00C04F34">
        <w:rPr>
          <w:noProof/>
        </w:rPr>
        <w:fldChar w:fldCharType="end"/>
      </w:r>
    </w:p>
    <w:p w14:paraId="32867573" w14:textId="6490D358" w:rsidR="00C04F34" w:rsidRPr="00C04F34" w:rsidRDefault="00C04F34">
      <w:pPr>
        <w:pStyle w:val="TOC3"/>
        <w:tabs>
          <w:tab w:val="right" w:pos="9350"/>
        </w:tabs>
        <w:rPr>
          <w:rFonts w:cstheme="minorBidi"/>
          <w:noProof/>
          <w:sz w:val="22"/>
          <w:szCs w:val="22"/>
          <w:lang w:val="en-CA" w:eastAsia="en-CA"/>
        </w:rPr>
      </w:pPr>
      <w:r w:rsidRPr="00C04F34">
        <w:rPr>
          <w:noProof/>
        </w:rPr>
        <w:t>Special Purpose Funds</w:t>
      </w:r>
      <w:r w:rsidRPr="00C04F34">
        <w:rPr>
          <w:noProof/>
        </w:rPr>
        <w:tab/>
      </w:r>
      <w:r w:rsidRPr="00C04F34">
        <w:rPr>
          <w:noProof/>
        </w:rPr>
        <w:fldChar w:fldCharType="begin"/>
      </w:r>
      <w:r w:rsidRPr="00C04F34">
        <w:rPr>
          <w:noProof/>
        </w:rPr>
        <w:instrText xml:space="preserve"> PAGEREF _Toc51594525 \h </w:instrText>
      </w:r>
      <w:r w:rsidRPr="00C04F34">
        <w:rPr>
          <w:noProof/>
        </w:rPr>
      </w:r>
      <w:r w:rsidRPr="00C04F34">
        <w:rPr>
          <w:noProof/>
        </w:rPr>
        <w:fldChar w:fldCharType="separate"/>
      </w:r>
      <w:r w:rsidR="00C32682">
        <w:rPr>
          <w:noProof/>
        </w:rPr>
        <w:t>3</w:t>
      </w:r>
      <w:r w:rsidRPr="00C04F34">
        <w:rPr>
          <w:noProof/>
        </w:rPr>
        <w:fldChar w:fldCharType="end"/>
      </w:r>
    </w:p>
    <w:p w14:paraId="6B547CB0" w14:textId="21F4D57F" w:rsidR="00C04F34" w:rsidRPr="00C04F34" w:rsidRDefault="00C04F34">
      <w:pPr>
        <w:pStyle w:val="TOC3"/>
        <w:tabs>
          <w:tab w:val="right" w:pos="9350"/>
        </w:tabs>
        <w:rPr>
          <w:rFonts w:cstheme="minorBidi"/>
          <w:noProof/>
          <w:sz w:val="22"/>
          <w:szCs w:val="22"/>
          <w:lang w:val="en-CA" w:eastAsia="en-CA"/>
        </w:rPr>
      </w:pPr>
      <w:r w:rsidRPr="00C04F34">
        <w:rPr>
          <w:noProof/>
        </w:rPr>
        <w:t>Capital Fund</w:t>
      </w:r>
      <w:r w:rsidRPr="00C04F34">
        <w:rPr>
          <w:noProof/>
        </w:rPr>
        <w:tab/>
      </w:r>
      <w:r w:rsidRPr="00C04F34">
        <w:rPr>
          <w:noProof/>
        </w:rPr>
        <w:fldChar w:fldCharType="begin"/>
      </w:r>
      <w:r w:rsidRPr="00C04F34">
        <w:rPr>
          <w:noProof/>
        </w:rPr>
        <w:instrText xml:space="preserve"> PAGEREF _Toc51594526 \h </w:instrText>
      </w:r>
      <w:r w:rsidRPr="00C04F34">
        <w:rPr>
          <w:noProof/>
        </w:rPr>
      </w:r>
      <w:r w:rsidRPr="00C04F34">
        <w:rPr>
          <w:noProof/>
        </w:rPr>
        <w:fldChar w:fldCharType="separate"/>
      </w:r>
      <w:r w:rsidR="00C32682">
        <w:rPr>
          <w:noProof/>
        </w:rPr>
        <w:t>3</w:t>
      </w:r>
      <w:r w:rsidRPr="00C04F34">
        <w:rPr>
          <w:noProof/>
        </w:rPr>
        <w:fldChar w:fldCharType="end"/>
      </w:r>
    </w:p>
    <w:p w14:paraId="234069D2" w14:textId="05A68E23" w:rsidR="00C04F34" w:rsidRPr="00C04F34" w:rsidRDefault="00C04F34">
      <w:pPr>
        <w:pStyle w:val="TOC1"/>
        <w:tabs>
          <w:tab w:val="right" w:pos="9350"/>
        </w:tabs>
        <w:rPr>
          <w:rFonts w:cstheme="minorBidi"/>
          <w:b w:val="0"/>
          <w:bCs w:val="0"/>
          <w:noProof/>
          <w:sz w:val="22"/>
          <w:szCs w:val="22"/>
          <w:lang w:val="en-CA" w:eastAsia="en-CA"/>
        </w:rPr>
      </w:pPr>
      <w:r w:rsidRPr="00C04F34">
        <w:rPr>
          <w:b w:val="0"/>
          <w:bCs w:val="0"/>
          <w:noProof/>
          <w:lang w:val="en-CA"/>
        </w:rPr>
        <w:t>ANALYSIS OF FINANCIAL STATEMENTS</w:t>
      </w:r>
      <w:r w:rsidRPr="00C04F34">
        <w:rPr>
          <w:b w:val="0"/>
          <w:bCs w:val="0"/>
          <w:noProof/>
        </w:rPr>
        <w:tab/>
      </w:r>
      <w:r w:rsidRPr="00C04F34">
        <w:rPr>
          <w:b w:val="0"/>
          <w:bCs w:val="0"/>
          <w:noProof/>
        </w:rPr>
        <w:fldChar w:fldCharType="begin"/>
      </w:r>
      <w:r w:rsidRPr="00C04F34">
        <w:rPr>
          <w:b w:val="0"/>
          <w:bCs w:val="0"/>
          <w:noProof/>
        </w:rPr>
        <w:instrText xml:space="preserve"> PAGEREF _Toc51594527 \h </w:instrText>
      </w:r>
      <w:r w:rsidRPr="00C04F34">
        <w:rPr>
          <w:b w:val="0"/>
          <w:bCs w:val="0"/>
          <w:noProof/>
        </w:rPr>
      </w:r>
      <w:r w:rsidRPr="00C04F34">
        <w:rPr>
          <w:b w:val="0"/>
          <w:bCs w:val="0"/>
          <w:noProof/>
        </w:rPr>
        <w:fldChar w:fldCharType="separate"/>
      </w:r>
      <w:r w:rsidR="00C32682">
        <w:rPr>
          <w:b w:val="0"/>
          <w:bCs w:val="0"/>
          <w:noProof/>
        </w:rPr>
        <w:t>4</w:t>
      </w:r>
      <w:r w:rsidRPr="00C04F34">
        <w:rPr>
          <w:b w:val="0"/>
          <w:bCs w:val="0"/>
          <w:noProof/>
        </w:rPr>
        <w:fldChar w:fldCharType="end"/>
      </w:r>
    </w:p>
    <w:p w14:paraId="792856C2" w14:textId="7126A83B" w:rsidR="00C04F34" w:rsidRPr="00C04F34" w:rsidRDefault="00C04F34">
      <w:pPr>
        <w:pStyle w:val="TOC2"/>
        <w:tabs>
          <w:tab w:val="right" w:pos="9350"/>
        </w:tabs>
        <w:rPr>
          <w:rFonts w:cstheme="minorBidi"/>
          <w:i w:val="0"/>
          <w:iCs w:val="0"/>
          <w:noProof/>
          <w:sz w:val="22"/>
          <w:szCs w:val="22"/>
          <w:lang w:val="en-CA" w:eastAsia="en-CA"/>
        </w:rPr>
      </w:pPr>
      <w:r w:rsidRPr="00C04F34">
        <w:rPr>
          <w:i w:val="0"/>
          <w:iCs w:val="0"/>
          <w:noProof/>
          <w:lang w:val="en-CA"/>
        </w:rPr>
        <w:t>FIVE YEAR TREND – STATEMENT OF FINANCIAL POSITION (Statement 1 – All Funds)</w:t>
      </w:r>
      <w:r w:rsidRPr="00C04F34">
        <w:rPr>
          <w:i w:val="0"/>
          <w:iCs w:val="0"/>
          <w:noProof/>
        </w:rPr>
        <w:tab/>
      </w:r>
      <w:r w:rsidRPr="00C04F34">
        <w:rPr>
          <w:i w:val="0"/>
          <w:iCs w:val="0"/>
          <w:noProof/>
        </w:rPr>
        <w:fldChar w:fldCharType="begin"/>
      </w:r>
      <w:r w:rsidRPr="00C04F34">
        <w:rPr>
          <w:i w:val="0"/>
          <w:iCs w:val="0"/>
          <w:noProof/>
        </w:rPr>
        <w:instrText xml:space="preserve"> PAGEREF _Toc51594528 \h </w:instrText>
      </w:r>
      <w:r w:rsidRPr="00C04F34">
        <w:rPr>
          <w:i w:val="0"/>
          <w:iCs w:val="0"/>
          <w:noProof/>
        </w:rPr>
      </w:r>
      <w:r w:rsidRPr="00C04F34">
        <w:rPr>
          <w:i w:val="0"/>
          <w:iCs w:val="0"/>
          <w:noProof/>
        </w:rPr>
        <w:fldChar w:fldCharType="separate"/>
      </w:r>
      <w:r w:rsidR="00C32682">
        <w:rPr>
          <w:i w:val="0"/>
          <w:iCs w:val="0"/>
          <w:noProof/>
        </w:rPr>
        <w:t>4</w:t>
      </w:r>
      <w:r w:rsidRPr="00C04F34">
        <w:rPr>
          <w:i w:val="0"/>
          <w:iCs w:val="0"/>
          <w:noProof/>
        </w:rPr>
        <w:fldChar w:fldCharType="end"/>
      </w:r>
    </w:p>
    <w:p w14:paraId="1B953688" w14:textId="68C508F1" w:rsidR="00C04F34" w:rsidRPr="00C04F34" w:rsidRDefault="00C04F34">
      <w:pPr>
        <w:pStyle w:val="TOC3"/>
        <w:tabs>
          <w:tab w:val="right" w:pos="9350"/>
        </w:tabs>
        <w:rPr>
          <w:rFonts w:cstheme="minorBidi"/>
          <w:noProof/>
          <w:sz w:val="22"/>
          <w:szCs w:val="22"/>
          <w:lang w:val="en-CA" w:eastAsia="en-CA"/>
        </w:rPr>
      </w:pPr>
      <w:r w:rsidRPr="00C04F34">
        <w:rPr>
          <w:noProof/>
        </w:rPr>
        <w:t>Cash and cash Equivalents</w:t>
      </w:r>
      <w:r w:rsidRPr="00C04F34">
        <w:rPr>
          <w:noProof/>
        </w:rPr>
        <w:tab/>
      </w:r>
      <w:r w:rsidRPr="00C04F34">
        <w:rPr>
          <w:noProof/>
        </w:rPr>
        <w:fldChar w:fldCharType="begin"/>
      </w:r>
      <w:r w:rsidRPr="00C04F34">
        <w:rPr>
          <w:noProof/>
        </w:rPr>
        <w:instrText xml:space="preserve"> PAGEREF _Toc51594529 \h </w:instrText>
      </w:r>
      <w:r w:rsidRPr="00C04F34">
        <w:rPr>
          <w:noProof/>
        </w:rPr>
      </w:r>
      <w:r w:rsidRPr="00C04F34">
        <w:rPr>
          <w:noProof/>
        </w:rPr>
        <w:fldChar w:fldCharType="separate"/>
      </w:r>
      <w:r w:rsidR="00C32682">
        <w:rPr>
          <w:noProof/>
        </w:rPr>
        <w:t>4</w:t>
      </w:r>
      <w:r w:rsidRPr="00C04F34">
        <w:rPr>
          <w:noProof/>
        </w:rPr>
        <w:fldChar w:fldCharType="end"/>
      </w:r>
    </w:p>
    <w:p w14:paraId="4659C22B" w14:textId="77C25098" w:rsidR="00C04F34" w:rsidRPr="00C04F34" w:rsidRDefault="00C04F34">
      <w:pPr>
        <w:pStyle w:val="TOC3"/>
        <w:tabs>
          <w:tab w:val="right" w:pos="9350"/>
        </w:tabs>
        <w:rPr>
          <w:rFonts w:cstheme="minorBidi"/>
          <w:noProof/>
          <w:sz w:val="22"/>
          <w:szCs w:val="22"/>
          <w:lang w:val="en-CA" w:eastAsia="en-CA"/>
        </w:rPr>
      </w:pPr>
      <w:r w:rsidRPr="00C04F34">
        <w:rPr>
          <w:noProof/>
        </w:rPr>
        <w:t>Liquidity</w:t>
      </w:r>
      <w:r w:rsidRPr="00C04F34">
        <w:rPr>
          <w:noProof/>
        </w:rPr>
        <w:tab/>
      </w:r>
      <w:r w:rsidRPr="00C04F34">
        <w:rPr>
          <w:noProof/>
        </w:rPr>
        <w:fldChar w:fldCharType="begin"/>
      </w:r>
      <w:r w:rsidRPr="00C04F34">
        <w:rPr>
          <w:noProof/>
        </w:rPr>
        <w:instrText xml:space="preserve"> PAGEREF _Toc51594530 \h </w:instrText>
      </w:r>
      <w:r w:rsidRPr="00C04F34">
        <w:rPr>
          <w:noProof/>
        </w:rPr>
      </w:r>
      <w:r w:rsidRPr="00C04F34">
        <w:rPr>
          <w:noProof/>
        </w:rPr>
        <w:fldChar w:fldCharType="separate"/>
      </w:r>
      <w:r w:rsidR="00C32682">
        <w:rPr>
          <w:noProof/>
        </w:rPr>
        <w:t>4</w:t>
      </w:r>
      <w:r w:rsidRPr="00C04F34">
        <w:rPr>
          <w:noProof/>
        </w:rPr>
        <w:fldChar w:fldCharType="end"/>
      </w:r>
    </w:p>
    <w:p w14:paraId="7C7ABF63" w14:textId="705BBD9A" w:rsidR="00C04F34" w:rsidRPr="00C04F34" w:rsidRDefault="00C04F34">
      <w:pPr>
        <w:pStyle w:val="TOC3"/>
        <w:tabs>
          <w:tab w:val="right" w:pos="9350"/>
        </w:tabs>
        <w:rPr>
          <w:rFonts w:cstheme="minorBidi"/>
          <w:noProof/>
          <w:sz w:val="22"/>
          <w:szCs w:val="22"/>
          <w:lang w:val="en-CA" w:eastAsia="en-CA"/>
        </w:rPr>
      </w:pPr>
      <w:r w:rsidRPr="00C04F34">
        <w:rPr>
          <w:noProof/>
        </w:rPr>
        <w:t>Cash Asset Ratio</w:t>
      </w:r>
      <w:r w:rsidRPr="00C04F34">
        <w:rPr>
          <w:noProof/>
        </w:rPr>
        <w:tab/>
      </w:r>
      <w:r w:rsidRPr="00C04F34">
        <w:rPr>
          <w:noProof/>
        </w:rPr>
        <w:fldChar w:fldCharType="begin"/>
      </w:r>
      <w:r w:rsidRPr="00C04F34">
        <w:rPr>
          <w:noProof/>
        </w:rPr>
        <w:instrText xml:space="preserve"> PAGEREF _Toc51594531 \h </w:instrText>
      </w:r>
      <w:r w:rsidRPr="00C04F34">
        <w:rPr>
          <w:noProof/>
        </w:rPr>
      </w:r>
      <w:r w:rsidRPr="00C04F34">
        <w:rPr>
          <w:noProof/>
        </w:rPr>
        <w:fldChar w:fldCharType="separate"/>
      </w:r>
      <w:r w:rsidR="00C32682">
        <w:rPr>
          <w:noProof/>
        </w:rPr>
        <w:t>5</w:t>
      </w:r>
      <w:r w:rsidRPr="00C04F34">
        <w:rPr>
          <w:noProof/>
        </w:rPr>
        <w:fldChar w:fldCharType="end"/>
      </w:r>
    </w:p>
    <w:p w14:paraId="0C0D3C05" w14:textId="484BA5D4" w:rsidR="00C04F34" w:rsidRPr="00C04F34" w:rsidRDefault="00C04F34">
      <w:pPr>
        <w:pStyle w:val="TOC2"/>
        <w:tabs>
          <w:tab w:val="right" w:pos="9350"/>
        </w:tabs>
        <w:rPr>
          <w:rFonts w:cstheme="minorBidi"/>
          <w:i w:val="0"/>
          <w:iCs w:val="0"/>
          <w:noProof/>
          <w:sz w:val="22"/>
          <w:szCs w:val="22"/>
          <w:lang w:val="en-CA" w:eastAsia="en-CA"/>
        </w:rPr>
      </w:pPr>
      <w:r w:rsidRPr="00C04F34">
        <w:rPr>
          <w:i w:val="0"/>
          <w:iCs w:val="0"/>
          <w:noProof/>
          <w:lang w:val="en-CA"/>
        </w:rPr>
        <w:t>FIVE YEAR TREND – STATEMENT OF OPERATIONS (Statement 2 – All Funds)</w:t>
      </w:r>
      <w:r w:rsidRPr="00C04F34">
        <w:rPr>
          <w:i w:val="0"/>
          <w:iCs w:val="0"/>
          <w:noProof/>
        </w:rPr>
        <w:tab/>
      </w:r>
      <w:r w:rsidRPr="00C04F34">
        <w:rPr>
          <w:i w:val="0"/>
          <w:iCs w:val="0"/>
          <w:noProof/>
        </w:rPr>
        <w:fldChar w:fldCharType="begin"/>
      </w:r>
      <w:r w:rsidRPr="00C04F34">
        <w:rPr>
          <w:i w:val="0"/>
          <w:iCs w:val="0"/>
          <w:noProof/>
        </w:rPr>
        <w:instrText xml:space="preserve"> PAGEREF _Toc51594532 \h </w:instrText>
      </w:r>
      <w:r w:rsidRPr="00C04F34">
        <w:rPr>
          <w:i w:val="0"/>
          <w:iCs w:val="0"/>
          <w:noProof/>
        </w:rPr>
      </w:r>
      <w:r w:rsidRPr="00C04F34">
        <w:rPr>
          <w:i w:val="0"/>
          <w:iCs w:val="0"/>
          <w:noProof/>
        </w:rPr>
        <w:fldChar w:fldCharType="separate"/>
      </w:r>
      <w:r w:rsidR="00C32682">
        <w:rPr>
          <w:i w:val="0"/>
          <w:iCs w:val="0"/>
          <w:noProof/>
        </w:rPr>
        <w:t>6</w:t>
      </w:r>
      <w:r w:rsidRPr="00C04F34">
        <w:rPr>
          <w:i w:val="0"/>
          <w:iCs w:val="0"/>
          <w:noProof/>
        </w:rPr>
        <w:fldChar w:fldCharType="end"/>
      </w:r>
    </w:p>
    <w:p w14:paraId="72C43373" w14:textId="4EA851C7" w:rsidR="00C04F34" w:rsidRPr="00C04F34" w:rsidRDefault="00C04F34">
      <w:pPr>
        <w:pStyle w:val="TOC3"/>
        <w:tabs>
          <w:tab w:val="right" w:pos="9350"/>
        </w:tabs>
        <w:rPr>
          <w:rFonts w:cstheme="minorBidi"/>
          <w:noProof/>
          <w:sz w:val="22"/>
          <w:szCs w:val="22"/>
          <w:lang w:val="en-CA" w:eastAsia="en-CA"/>
        </w:rPr>
      </w:pPr>
      <w:r w:rsidRPr="00C04F34">
        <w:rPr>
          <w:noProof/>
        </w:rPr>
        <w:t>Total Revenues</w:t>
      </w:r>
      <w:r w:rsidRPr="00C04F34">
        <w:rPr>
          <w:noProof/>
        </w:rPr>
        <w:tab/>
      </w:r>
      <w:r w:rsidRPr="00C04F34">
        <w:rPr>
          <w:noProof/>
        </w:rPr>
        <w:fldChar w:fldCharType="begin"/>
      </w:r>
      <w:r w:rsidRPr="00C04F34">
        <w:rPr>
          <w:noProof/>
        </w:rPr>
        <w:instrText xml:space="preserve"> PAGEREF _Toc51594533 \h </w:instrText>
      </w:r>
      <w:r w:rsidRPr="00C04F34">
        <w:rPr>
          <w:noProof/>
        </w:rPr>
      </w:r>
      <w:r w:rsidRPr="00C04F34">
        <w:rPr>
          <w:noProof/>
        </w:rPr>
        <w:fldChar w:fldCharType="separate"/>
      </w:r>
      <w:r w:rsidR="00C32682">
        <w:rPr>
          <w:noProof/>
        </w:rPr>
        <w:t>6</w:t>
      </w:r>
      <w:r w:rsidRPr="00C04F34">
        <w:rPr>
          <w:noProof/>
        </w:rPr>
        <w:fldChar w:fldCharType="end"/>
      </w:r>
    </w:p>
    <w:p w14:paraId="6BF6C659" w14:textId="434E67B0" w:rsidR="00C04F34" w:rsidRPr="00C04F34" w:rsidRDefault="00C04F34">
      <w:pPr>
        <w:pStyle w:val="TOC3"/>
        <w:tabs>
          <w:tab w:val="right" w:pos="9350"/>
        </w:tabs>
        <w:rPr>
          <w:rFonts w:cstheme="minorBidi"/>
          <w:noProof/>
          <w:sz w:val="22"/>
          <w:szCs w:val="22"/>
          <w:lang w:val="en-CA" w:eastAsia="en-CA"/>
        </w:rPr>
      </w:pPr>
      <w:r w:rsidRPr="00C04F34">
        <w:rPr>
          <w:noProof/>
        </w:rPr>
        <w:t>Expenses</w:t>
      </w:r>
      <w:r w:rsidRPr="00C04F34">
        <w:rPr>
          <w:noProof/>
        </w:rPr>
        <w:tab/>
      </w:r>
      <w:r w:rsidRPr="00C04F34">
        <w:rPr>
          <w:noProof/>
        </w:rPr>
        <w:fldChar w:fldCharType="begin"/>
      </w:r>
      <w:r w:rsidRPr="00C04F34">
        <w:rPr>
          <w:noProof/>
        </w:rPr>
        <w:instrText xml:space="preserve"> PAGEREF _Toc51594534 \h </w:instrText>
      </w:r>
      <w:r w:rsidRPr="00C04F34">
        <w:rPr>
          <w:noProof/>
        </w:rPr>
      </w:r>
      <w:r w:rsidRPr="00C04F34">
        <w:rPr>
          <w:noProof/>
        </w:rPr>
        <w:fldChar w:fldCharType="separate"/>
      </w:r>
      <w:r w:rsidR="00C32682">
        <w:rPr>
          <w:noProof/>
        </w:rPr>
        <w:t>7</w:t>
      </w:r>
      <w:r w:rsidRPr="00C04F34">
        <w:rPr>
          <w:noProof/>
        </w:rPr>
        <w:fldChar w:fldCharType="end"/>
      </w:r>
    </w:p>
    <w:p w14:paraId="75244308" w14:textId="74C884B5" w:rsidR="00C04F34" w:rsidRPr="00C04F34" w:rsidRDefault="00C04F34">
      <w:pPr>
        <w:pStyle w:val="TOC3"/>
        <w:tabs>
          <w:tab w:val="right" w:pos="9350"/>
        </w:tabs>
        <w:rPr>
          <w:rFonts w:cstheme="minorBidi"/>
          <w:noProof/>
          <w:sz w:val="22"/>
          <w:szCs w:val="22"/>
          <w:lang w:val="en-CA" w:eastAsia="en-CA"/>
        </w:rPr>
      </w:pPr>
      <w:r w:rsidRPr="00C04F34">
        <w:rPr>
          <w:noProof/>
        </w:rPr>
        <w:t>Accumulated surplus</w:t>
      </w:r>
      <w:r w:rsidRPr="00C04F34">
        <w:rPr>
          <w:noProof/>
        </w:rPr>
        <w:tab/>
      </w:r>
      <w:r w:rsidR="00376407">
        <w:rPr>
          <w:noProof/>
        </w:rPr>
        <w:t>8</w:t>
      </w:r>
    </w:p>
    <w:p w14:paraId="0B2C901B" w14:textId="3BBDBAAC" w:rsidR="00C04F34" w:rsidRPr="00C04F34" w:rsidRDefault="00C04F34">
      <w:pPr>
        <w:pStyle w:val="TOC1"/>
        <w:tabs>
          <w:tab w:val="right" w:pos="9350"/>
        </w:tabs>
        <w:rPr>
          <w:rFonts w:cstheme="minorBidi"/>
          <w:b w:val="0"/>
          <w:bCs w:val="0"/>
          <w:noProof/>
          <w:sz w:val="22"/>
          <w:szCs w:val="22"/>
          <w:lang w:val="en-CA" w:eastAsia="en-CA"/>
        </w:rPr>
      </w:pPr>
      <w:r w:rsidRPr="00C04F34">
        <w:rPr>
          <w:b w:val="0"/>
          <w:bCs w:val="0"/>
          <w:noProof/>
          <w:lang w:val="en-CA"/>
        </w:rPr>
        <w:t>OPERATING FUND ANALYSIS (Schedule 2 to 2C)</w:t>
      </w:r>
      <w:r w:rsidRPr="00C04F34">
        <w:rPr>
          <w:b w:val="0"/>
          <w:bCs w:val="0"/>
          <w:noProof/>
        </w:rPr>
        <w:tab/>
      </w:r>
      <w:r w:rsidR="00376407">
        <w:rPr>
          <w:b w:val="0"/>
          <w:bCs w:val="0"/>
          <w:noProof/>
        </w:rPr>
        <w:t>9</w:t>
      </w:r>
    </w:p>
    <w:p w14:paraId="47A11B93" w14:textId="24BB2A52" w:rsidR="00C04F34" w:rsidRPr="00C04F34" w:rsidRDefault="00C04F34">
      <w:pPr>
        <w:pStyle w:val="TOC1"/>
        <w:tabs>
          <w:tab w:val="right" w:pos="9350"/>
        </w:tabs>
        <w:rPr>
          <w:rFonts w:cstheme="minorBidi"/>
          <w:b w:val="0"/>
          <w:bCs w:val="0"/>
          <w:noProof/>
          <w:sz w:val="22"/>
          <w:szCs w:val="22"/>
          <w:lang w:val="en-CA" w:eastAsia="en-CA"/>
        </w:rPr>
      </w:pPr>
      <w:r w:rsidRPr="00C04F34">
        <w:rPr>
          <w:b w:val="0"/>
          <w:bCs w:val="0"/>
          <w:noProof/>
          <w:lang w:val="en-CA"/>
        </w:rPr>
        <w:t>SPECIAL PURPOSE FUND ANALYSIS (Schedule 3 &amp; 3A)</w:t>
      </w:r>
      <w:r w:rsidRPr="00C04F34">
        <w:rPr>
          <w:b w:val="0"/>
          <w:bCs w:val="0"/>
          <w:noProof/>
        </w:rPr>
        <w:tab/>
      </w:r>
      <w:r w:rsidRPr="00C04F34">
        <w:rPr>
          <w:b w:val="0"/>
          <w:bCs w:val="0"/>
          <w:noProof/>
        </w:rPr>
        <w:fldChar w:fldCharType="begin"/>
      </w:r>
      <w:r w:rsidRPr="00C04F34">
        <w:rPr>
          <w:b w:val="0"/>
          <w:bCs w:val="0"/>
          <w:noProof/>
        </w:rPr>
        <w:instrText xml:space="preserve"> PAGEREF _Toc51594537 \h </w:instrText>
      </w:r>
      <w:r w:rsidRPr="00C04F34">
        <w:rPr>
          <w:b w:val="0"/>
          <w:bCs w:val="0"/>
          <w:noProof/>
        </w:rPr>
      </w:r>
      <w:r w:rsidRPr="00C04F34">
        <w:rPr>
          <w:b w:val="0"/>
          <w:bCs w:val="0"/>
          <w:noProof/>
        </w:rPr>
        <w:fldChar w:fldCharType="separate"/>
      </w:r>
      <w:r w:rsidR="00C32682">
        <w:rPr>
          <w:b w:val="0"/>
          <w:bCs w:val="0"/>
          <w:noProof/>
        </w:rPr>
        <w:t>1</w:t>
      </w:r>
      <w:r w:rsidR="00376407">
        <w:rPr>
          <w:b w:val="0"/>
          <w:bCs w:val="0"/>
          <w:noProof/>
        </w:rPr>
        <w:t>2</w:t>
      </w:r>
      <w:r w:rsidRPr="00C04F34">
        <w:rPr>
          <w:b w:val="0"/>
          <w:bCs w:val="0"/>
          <w:noProof/>
        </w:rPr>
        <w:fldChar w:fldCharType="end"/>
      </w:r>
    </w:p>
    <w:p w14:paraId="0AAB9FFC" w14:textId="754C776F" w:rsidR="00C04F34" w:rsidRPr="00C04F34" w:rsidRDefault="00C04F34">
      <w:pPr>
        <w:pStyle w:val="TOC1"/>
        <w:tabs>
          <w:tab w:val="right" w:pos="9350"/>
        </w:tabs>
        <w:rPr>
          <w:rFonts w:cstheme="minorBidi"/>
          <w:b w:val="0"/>
          <w:bCs w:val="0"/>
          <w:noProof/>
          <w:sz w:val="22"/>
          <w:szCs w:val="22"/>
          <w:lang w:val="en-CA" w:eastAsia="en-CA"/>
        </w:rPr>
      </w:pPr>
      <w:r w:rsidRPr="00C04F34">
        <w:rPr>
          <w:b w:val="0"/>
          <w:bCs w:val="0"/>
          <w:noProof/>
          <w:lang w:val="en-CA"/>
        </w:rPr>
        <w:t>CAPITAL FUND ANALYSIS (Schedule 4 to 4 D)</w:t>
      </w:r>
      <w:r w:rsidRPr="00C04F34">
        <w:rPr>
          <w:b w:val="0"/>
          <w:bCs w:val="0"/>
          <w:noProof/>
        </w:rPr>
        <w:tab/>
      </w:r>
      <w:r w:rsidRPr="00C04F34">
        <w:rPr>
          <w:b w:val="0"/>
          <w:bCs w:val="0"/>
          <w:noProof/>
        </w:rPr>
        <w:fldChar w:fldCharType="begin"/>
      </w:r>
      <w:r w:rsidRPr="00C04F34">
        <w:rPr>
          <w:b w:val="0"/>
          <w:bCs w:val="0"/>
          <w:noProof/>
        </w:rPr>
        <w:instrText xml:space="preserve"> PAGEREF _Toc51594538 \h </w:instrText>
      </w:r>
      <w:r w:rsidRPr="00C04F34">
        <w:rPr>
          <w:b w:val="0"/>
          <w:bCs w:val="0"/>
          <w:noProof/>
        </w:rPr>
      </w:r>
      <w:r w:rsidRPr="00C04F34">
        <w:rPr>
          <w:b w:val="0"/>
          <w:bCs w:val="0"/>
          <w:noProof/>
        </w:rPr>
        <w:fldChar w:fldCharType="separate"/>
      </w:r>
      <w:r w:rsidR="00C32682">
        <w:rPr>
          <w:b w:val="0"/>
          <w:bCs w:val="0"/>
          <w:noProof/>
        </w:rPr>
        <w:t>1</w:t>
      </w:r>
      <w:r w:rsidR="005A396F">
        <w:rPr>
          <w:b w:val="0"/>
          <w:bCs w:val="0"/>
          <w:noProof/>
        </w:rPr>
        <w:t>4</w:t>
      </w:r>
      <w:r w:rsidRPr="00C04F34">
        <w:rPr>
          <w:b w:val="0"/>
          <w:bCs w:val="0"/>
          <w:noProof/>
        </w:rPr>
        <w:fldChar w:fldCharType="end"/>
      </w:r>
    </w:p>
    <w:p w14:paraId="75254842" w14:textId="31C3EB22" w:rsidR="00C04F34" w:rsidRPr="00C04F34" w:rsidRDefault="00C04F34">
      <w:pPr>
        <w:pStyle w:val="TOC1"/>
        <w:tabs>
          <w:tab w:val="right" w:pos="9350"/>
        </w:tabs>
        <w:rPr>
          <w:rFonts w:cstheme="minorBidi"/>
          <w:b w:val="0"/>
          <w:bCs w:val="0"/>
          <w:noProof/>
          <w:sz w:val="22"/>
          <w:szCs w:val="22"/>
          <w:lang w:val="en-CA" w:eastAsia="en-CA"/>
        </w:rPr>
      </w:pPr>
      <w:r w:rsidRPr="00C04F34">
        <w:rPr>
          <w:b w:val="0"/>
          <w:bCs w:val="0"/>
          <w:noProof/>
          <w:lang w:val="en-CA"/>
        </w:rPr>
        <w:t>CONTACTING THE DISTRICT’S MANAGEMENT</w:t>
      </w:r>
      <w:r w:rsidRPr="00C04F34">
        <w:rPr>
          <w:b w:val="0"/>
          <w:bCs w:val="0"/>
          <w:noProof/>
        </w:rPr>
        <w:tab/>
      </w:r>
      <w:r w:rsidRPr="00C04F34">
        <w:rPr>
          <w:b w:val="0"/>
          <w:bCs w:val="0"/>
          <w:noProof/>
        </w:rPr>
        <w:fldChar w:fldCharType="begin"/>
      </w:r>
      <w:r w:rsidRPr="00C04F34">
        <w:rPr>
          <w:b w:val="0"/>
          <w:bCs w:val="0"/>
          <w:noProof/>
        </w:rPr>
        <w:instrText xml:space="preserve"> PAGEREF _Toc51594539 \h </w:instrText>
      </w:r>
      <w:r w:rsidRPr="00C04F34">
        <w:rPr>
          <w:b w:val="0"/>
          <w:bCs w:val="0"/>
          <w:noProof/>
        </w:rPr>
      </w:r>
      <w:r w:rsidRPr="00C04F34">
        <w:rPr>
          <w:b w:val="0"/>
          <w:bCs w:val="0"/>
          <w:noProof/>
        </w:rPr>
        <w:fldChar w:fldCharType="separate"/>
      </w:r>
      <w:r w:rsidR="00C32682">
        <w:rPr>
          <w:b w:val="0"/>
          <w:bCs w:val="0"/>
          <w:noProof/>
        </w:rPr>
        <w:t>1</w:t>
      </w:r>
      <w:r w:rsidRPr="00C04F34">
        <w:rPr>
          <w:b w:val="0"/>
          <w:bCs w:val="0"/>
          <w:noProof/>
        </w:rPr>
        <w:fldChar w:fldCharType="end"/>
      </w:r>
      <w:r w:rsidR="005A396F">
        <w:rPr>
          <w:b w:val="0"/>
          <w:bCs w:val="0"/>
          <w:noProof/>
        </w:rPr>
        <w:t>4</w:t>
      </w:r>
    </w:p>
    <w:p w14:paraId="5407505A" w14:textId="3251F148" w:rsidR="009B0D8C" w:rsidRPr="009B0D8C" w:rsidRDefault="0094397A" w:rsidP="00A26B0D">
      <w:pPr>
        <w:pStyle w:val="IntenseQuote"/>
        <w:jc w:val="left"/>
        <w:rPr>
          <w:rStyle w:val="Emphasis"/>
        </w:rPr>
      </w:pPr>
      <w:r>
        <w:rPr>
          <w:rStyle w:val="Emphasis"/>
        </w:rPr>
        <w:fldChar w:fldCharType="end"/>
      </w:r>
    </w:p>
    <w:p w14:paraId="376F7308" w14:textId="08CA0DAF" w:rsidR="009B0D8C" w:rsidRDefault="009B0D8C">
      <w:pPr>
        <w:rPr>
          <w:lang w:val="en-CA"/>
        </w:rPr>
      </w:pPr>
    </w:p>
    <w:p w14:paraId="4A7B986A" w14:textId="0292E9F0" w:rsidR="00C902BA" w:rsidRDefault="00C902BA">
      <w:pPr>
        <w:rPr>
          <w:lang w:val="en-CA"/>
        </w:rPr>
      </w:pPr>
    </w:p>
    <w:p w14:paraId="59253DFB" w14:textId="77777777" w:rsidR="00C902BA" w:rsidRDefault="00C902BA">
      <w:pPr>
        <w:rPr>
          <w:lang w:val="en-CA"/>
        </w:rPr>
      </w:pPr>
    </w:p>
    <w:p w14:paraId="214E8E3B" w14:textId="77777777" w:rsidR="009B0D8C" w:rsidRDefault="009B0D8C">
      <w:pPr>
        <w:rPr>
          <w:lang w:val="en-CA"/>
        </w:rPr>
      </w:pPr>
    </w:p>
    <w:p w14:paraId="568822BF" w14:textId="1852629F" w:rsidR="00A84F3E" w:rsidRDefault="00C5729C" w:rsidP="00A84F3E">
      <w:pPr>
        <w:jc w:val="both"/>
        <w:rPr>
          <w:lang w:val="en-CA"/>
        </w:rPr>
      </w:pPr>
      <w:r>
        <w:rPr>
          <w:lang w:val="en-CA"/>
        </w:rPr>
        <w:t>The following i</w:t>
      </w:r>
      <w:r w:rsidR="00117D20">
        <w:rPr>
          <w:lang w:val="en-CA"/>
        </w:rPr>
        <w:t>s</w:t>
      </w:r>
      <w:r>
        <w:rPr>
          <w:lang w:val="en-CA"/>
        </w:rPr>
        <w:t xml:space="preserve"> a discussion and analysis of School District No. </w:t>
      </w:r>
      <w:r w:rsidR="000F66BF">
        <w:rPr>
          <w:lang w:val="en-CA"/>
        </w:rPr>
        <w:t>92 (Nisga’a)</w:t>
      </w:r>
      <w:r>
        <w:rPr>
          <w:lang w:val="en-CA"/>
        </w:rPr>
        <w:t xml:space="preserve"> financial performance for the fiscal year ended June 30, 20</w:t>
      </w:r>
      <w:r w:rsidR="002A4CA0">
        <w:rPr>
          <w:lang w:val="en-CA"/>
        </w:rPr>
        <w:t>2</w:t>
      </w:r>
      <w:r w:rsidR="00C809BC">
        <w:rPr>
          <w:lang w:val="en-CA"/>
        </w:rPr>
        <w:t>4</w:t>
      </w:r>
      <w:r w:rsidR="000F66BF">
        <w:rPr>
          <w:lang w:val="en-CA"/>
        </w:rPr>
        <w:t xml:space="preserve"> and should be read in conjunction with the districts financial statements and accompanying notes</w:t>
      </w:r>
      <w:r>
        <w:rPr>
          <w:lang w:val="en-CA"/>
        </w:rPr>
        <w:t xml:space="preserve">.  This report is a summary of the district’s financial activities based on currently known facts, </w:t>
      </w:r>
      <w:r w:rsidR="004249A9">
        <w:rPr>
          <w:lang w:val="en-CA"/>
        </w:rPr>
        <w:t>and</w:t>
      </w:r>
      <w:r>
        <w:rPr>
          <w:lang w:val="en-CA"/>
        </w:rPr>
        <w:t xml:space="preserve"> conditions</w:t>
      </w:r>
      <w:r w:rsidR="00A84F3E">
        <w:rPr>
          <w:lang w:val="en-CA"/>
        </w:rPr>
        <w:t xml:space="preserve"> and is meant to provide information to enhance the readers understanding of the financial wellness of the district.</w:t>
      </w:r>
      <w:r w:rsidRPr="0068294E">
        <w:rPr>
          <w:lang w:val="en-CA"/>
        </w:rPr>
        <w:t xml:space="preserve">  </w:t>
      </w:r>
    </w:p>
    <w:p w14:paraId="74F31D61" w14:textId="03187DED" w:rsidR="00A84F3E" w:rsidRDefault="00A84F3E" w:rsidP="00A84F3E">
      <w:pPr>
        <w:jc w:val="both"/>
        <w:rPr>
          <w:lang w:val="en-CA"/>
        </w:rPr>
      </w:pPr>
      <w:r>
        <w:rPr>
          <w:lang w:val="en-CA"/>
        </w:rPr>
        <w:t>While the preparation of the Financial Statement Discussion and Analysis is not a legislative requirement, it is recommended by the Province of BC</w:t>
      </w:r>
      <w:r w:rsidR="00DC013C">
        <w:rPr>
          <w:lang w:val="en-CA"/>
        </w:rPr>
        <w:t>,</w:t>
      </w:r>
      <w:r>
        <w:rPr>
          <w:lang w:val="en-CA"/>
        </w:rPr>
        <w:t xml:space="preserve"> </w:t>
      </w:r>
      <w:r w:rsidR="00DC013C">
        <w:rPr>
          <w:lang w:val="en-CA"/>
        </w:rPr>
        <w:t>Ministry of Education and Child Care (MECC)</w:t>
      </w:r>
      <w:r>
        <w:rPr>
          <w:lang w:val="en-CA"/>
        </w:rPr>
        <w:t>.  The preparation of the Financial Statement Discussion and Analysis is the responsibility of the management of the school district.</w:t>
      </w:r>
    </w:p>
    <w:p w14:paraId="6CB2BCD6" w14:textId="3C7B072D" w:rsidR="00C902BA" w:rsidRDefault="009B0D8C" w:rsidP="00374181">
      <w:pPr>
        <w:pStyle w:val="Heading1"/>
        <w:jc w:val="left"/>
        <w:rPr>
          <w:sz w:val="32"/>
          <w:szCs w:val="32"/>
          <w:lang w:val="en-CA"/>
        </w:rPr>
      </w:pPr>
      <w:bookmarkStart w:id="1" w:name="_Toc51594521"/>
      <w:r w:rsidRPr="00374181">
        <w:rPr>
          <w:sz w:val="32"/>
          <w:szCs w:val="32"/>
          <w:lang w:val="en-CA"/>
        </w:rPr>
        <w:t>DISTRICT OVERVIEW</w:t>
      </w:r>
      <w:bookmarkEnd w:id="1"/>
    </w:p>
    <w:p w14:paraId="56CF158C" w14:textId="77777777" w:rsidR="00C04F34" w:rsidRPr="00C04F34" w:rsidRDefault="00C04F34" w:rsidP="00C04F34">
      <w:pPr>
        <w:rPr>
          <w:lang w:val="en-CA"/>
        </w:rPr>
      </w:pPr>
    </w:p>
    <w:p w14:paraId="06202EDC" w14:textId="76EFCD09" w:rsidR="00494567" w:rsidRDefault="00C5729C">
      <w:r>
        <w:rPr>
          <w:lang w:val="en-CA"/>
        </w:rPr>
        <w:t xml:space="preserve">School District No. </w:t>
      </w:r>
      <w:r w:rsidR="00494567">
        <w:rPr>
          <w:lang w:val="en-CA"/>
        </w:rPr>
        <w:t>92 (Nisga’a) is located in the beautiful Nass Valley, we are a small and very unique district in that our students are primarily of Nisga’a descent</w:t>
      </w:r>
      <w:r w:rsidR="006D706B">
        <w:rPr>
          <w:lang w:val="en-CA"/>
        </w:rPr>
        <w:t xml:space="preserve"> and therefore members of one language and cultural group</w:t>
      </w:r>
      <w:r w:rsidR="00494567">
        <w:rPr>
          <w:lang w:val="en-CA"/>
        </w:rPr>
        <w:t xml:space="preserve">.  Our approximately </w:t>
      </w:r>
      <w:r w:rsidR="00DC013C">
        <w:rPr>
          <w:lang w:val="en-CA"/>
        </w:rPr>
        <w:t>415</w:t>
      </w:r>
      <w:r w:rsidR="00494567">
        <w:rPr>
          <w:lang w:val="en-CA"/>
        </w:rPr>
        <w:t xml:space="preserve"> students are spread through</w:t>
      </w:r>
      <w:r w:rsidR="00494567">
        <w:t>out four communities</w:t>
      </w:r>
      <w:r w:rsidR="00494567" w:rsidRPr="00494567">
        <w:t xml:space="preserve"> Gingolx, Laxgalts’ap, Gitwinksihlkw and Gitlaxt’aamiks along the Nass River</w:t>
      </w:r>
      <w:r w:rsidR="00494567">
        <w:t xml:space="preserve">.  Each </w:t>
      </w:r>
      <w:r w:rsidR="00494567" w:rsidRPr="00494567">
        <w:t xml:space="preserve">community </w:t>
      </w:r>
      <w:r w:rsidR="00494567">
        <w:t xml:space="preserve">hosts a </w:t>
      </w:r>
      <w:r w:rsidR="00494567" w:rsidRPr="00494567">
        <w:t>K-7 elementary school with the high school being located in the largest community Gitlaxt’aamiks, as part of a K-12 school.</w:t>
      </w:r>
      <w:r w:rsidR="00494567">
        <w:t xml:space="preserve"> </w:t>
      </w:r>
    </w:p>
    <w:p w14:paraId="084AD9D7" w14:textId="54601C08" w:rsidR="00494567" w:rsidRDefault="00494567">
      <w:r w:rsidRPr="00494567">
        <w:t xml:space="preserve">The lands of the Nisga'a Nation are blessed with soaring mountains, dramatic lava beds and thriving rivers and streams. The natural beauty of Nisga'a lands is complemented by the rich cultural traditions of the Nisga’a Nation. There is a wealth of outdoor activities to enjoy in the area, including fishing, hiking, cross-country skiing, snowmobiling and much more. </w:t>
      </w:r>
    </w:p>
    <w:p w14:paraId="6B64565B" w14:textId="1B5537CE" w:rsidR="00461CCD" w:rsidRDefault="00461CCD">
      <w:pPr>
        <w:rPr>
          <w:lang w:val="en-CA"/>
        </w:rPr>
      </w:pPr>
      <w:r>
        <w:rPr>
          <w:lang w:val="en-CA"/>
        </w:rPr>
        <w:t xml:space="preserve">All decisions made by the Board of Education (The Board) both educational and financial are guided by the districts </w:t>
      </w:r>
      <w:r w:rsidR="006D706B">
        <w:rPr>
          <w:lang w:val="en-CA"/>
        </w:rPr>
        <w:t>VISION statements:</w:t>
      </w:r>
    </w:p>
    <w:p w14:paraId="2F4AA225" w14:textId="72718E42" w:rsidR="006D706B" w:rsidRDefault="006D706B" w:rsidP="006D706B">
      <w:pPr>
        <w:ind w:left="720"/>
        <w:rPr>
          <w:i/>
          <w:iCs/>
          <w:lang w:val="en-CA"/>
        </w:rPr>
      </w:pPr>
      <w:r>
        <w:rPr>
          <w:i/>
          <w:iCs/>
          <w:lang w:val="en-CA"/>
        </w:rPr>
        <w:t>“</w:t>
      </w:r>
      <w:r w:rsidRPr="006D706B">
        <w:rPr>
          <w:i/>
          <w:iCs/>
          <w:lang w:val="en-CA"/>
        </w:rPr>
        <w:t>Nisga’a</w:t>
      </w:r>
      <w:r>
        <w:rPr>
          <w:i/>
          <w:iCs/>
          <w:lang w:val="en-CA"/>
        </w:rPr>
        <w:t xml:space="preserve"> Education is a way to earn and live the principles of life which entails:  Sayt- K’il’im Goot, Ayuukhl Nisga’a and Yuuhlimk’askw.</w:t>
      </w:r>
    </w:p>
    <w:p w14:paraId="096B789C" w14:textId="041825FC" w:rsidR="006D706B" w:rsidRPr="006D706B" w:rsidRDefault="006D706B" w:rsidP="006D706B">
      <w:pPr>
        <w:ind w:left="720"/>
        <w:rPr>
          <w:i/>
          <w:iCs/>
          <w:lang w:val="en-CA"/>
        </w:rPr>
      </w:pPr>
      <w:r>
        <w:rPr>
          <w:i/>
          <w:iCs/>
          <w:lang w:val="en-CA"/>
        </w:rPr>
        <w:t>The Board of Education’s primary focus is:  “to work with students, families, staff and the community to ensure every student within the Nisga’a Nation graduates and leaves with dignity, purpose and opportunities.””</w:t>
      </w:r>
    </w:p>
    <w:p w14:paraId="7C203AA7" w14:textId="172A5DB5" w:rsidR="006C7CCC" w:rsidRDefault="006D706B" w:rsidP="00461CCD">
      <w:pPr>
        <w:rPr>
          <w:lang w:val="en-CA"/>
        </w:rPr>
      </w:pPr>
      <w:r>
        <w:rPr>
          <w:lang w:val="en-CA"/>
        </w:rPr>
        <w:t>This information</w:t>
      </w:r>
      <w:r w:rsidR="006C7CCC">
        <w:rPr>
          <w:lang w:val="en-CA"/>
        </w:rPr>
        <w:t xml:space="preserve"> (and more)</w:t>
      </w:r>
      <w:r w:rsidR="00253D37">
        <w:rPr>
          <w:lang w:val="en-CA"/>
        </w:rPr>
        <w:t xml:space="preserve"> can be found on our website</w:t>
      </w:r>
      <w:r w:rsidR="006C7CCC">
        <w:rPr>
          <w:lang w:val="en-CA"/>
        </w:rPr>
        <w:t xml:space="preserve"> </w:t>
      </w:r>
      <w:hyperlink r:id="rId9" w:history="1">
        <w:r w:rsidR="006C7CCC" w:rsidRPr="00D063C1">
          <w:rPr>
            <w:rStyle w:val="Hyperlink"/>
            <w:lang w:val="en-CA"/>
          </w:rPr>
          <w:t>www.nisgaa.bc.ca</w:t>
        </w:r>
      </w:hyperlink>
    </w:p>
    <w:p w14:paraId="69752F77" w14:textId="617A91A5" w:rsidR="00374181" w:rsidRDefault="00374181" w:rsidP="00C902BA">
      <w:pPr>
        <w:pStyle w:val="Heading1"/>
        <w:jc w:val="left"/>
        <w:rPr>
          <w:sz w:val="32"/>
          <w:szCs w:val="32"/>
          <w:lang w:val="en-CA"/>
        </w:rPr>
      </w:pPr>
      <w:bookmarkStart w:id="2" w:name="_Toc51594522"/>
      <w:r>
        <w:rPr>
          <w:sz w:val="32"/>
          <w:szCs w:val="32"/>
          <w:lang w:val="en-CA"/>
        </w:rPr>
        <w:t>OUR UNIQUE RELATIONSHIP</w:t>
      </w:r>
      <w:bookmarkEnd w:id="2"/>
    </w:p>
    <w:p w14:paraId="36325576" w14:textId="77777777" w:rsidR="00C04F34" w:rsidRPr="00C04F34" w:rsidRDefault="00C04F34" w:rsidP="00C04F34">
      <w:pPr>
        <w:rPr>
          <w:lang w:val="en-CA"/>
        </w:rPr>
      </w:pPr>
    </w:p>
    <w:p w14:paraId="48C95E80" w14:textId="5F29A0E7" w:rsidR="00374181" w:rsidRDefault="00374181" w:rsidP="00374181">
      <w:pPr>
        <w:rPr>
          <w:lang w:val="en-CA"/>
        </w:rPr>
      </w:pPr>
      <w:r>
        <w:rPr>
          <w:lang w:val="en-CA"/>
        </w:rPr>
        <w:t xml:space="preserve">School District 92 has a very unique financial relationship with the Nisga’a Lisims Government due to the fact that the student body is almost 100% first nation from the Nisga’a culture.  Under normal circumstances among all districts in the province, the </w:t>
      </w:r>
      <w:r w:rsidR="00DC013C">
        <w:rPr>
          <w:lang w:val="en-CA"/>
        </w:rPr>
        <w:t>Ministry of Education</w:t>
      </w:r>
      <w:r>
        <w:rPr>
          <w:lang w:val="en-CA"/>
        </w:rPr>
        <w:t xml:space="preserve"> </w:t>
      </w:r>
      <w:r w:rsidR="00DC013C">
        <w:rPr>
          <w:lang w:val="en-CA"/>
        </w:rPr>
        <w:t xml:space="preserve">and Child Care (here on in referred to as MECC) </w:t>
      </w:r>
      <w:r>
        <w:rPr>
          <w:lang w:val="en-CA"/>
        </w:rPr>
        <w:t xml:space="preserve">funds the districts for their identified first nation students and then they recover any funding for which the </w:t>
      </w:r>
      <w:r>
        <w:rPr>
          <w:lang w:val="en-CA"/>
        </w:rPr>
        <w:lastRenderedPageBreak/>
        <w:t>districts have negotiated a Local Education Agreement</w:t>
      </w:r>
      <w:r w:rsidR="00B37499">
        <w:rPr>
          <w:lang w:val="en-CA"/>
        </w:rPr>
        <w:t xml:space="preserve"> (LEA)</w:t>
      </w:r>
      <w:r>
        <w:rPr>
          <w:lang w:val="en-CA"/>
        </w:rPr>
        <w:t xml:space="preserve"> with one or all of the first nations bands within a district</w:t>
      </w:r>
      <w:r w:rsidR="00B37499">
        <w:rPr>
          <w:lang w:val="en-CA"/>
        </w:rPr>
        <w:t xml:space="preserve">.  These agreements state that the band will pay the school district for all funding recovered by the </w:t>
      </w:r>
      <w:r w:rsidR="00DC013C">
        <w:rPr>
          <w:lang w:val="en-CA"/>
        </w:rPr>
        <w:t>MECC</w:t>
      </w:r>
      <w:r w:rsidR="00B37499">
        <w:rPr>
          <w:lang w:val="en-CA"/>
        </w:rPr>
        <w:t xml:space="preserve">, it generally only includes Operating grants and does not </w:t>
      </w:r>
      <w:r w:rsidR="00535E73">
        <w:rPr>
          <w:lang w:val="en-CA"/>
        </w:rPr>
        <w:t>affect</w:t>
      </w:r>
      <w:r w:rsidR="00B37499">
        <w:rPr>
          <w:lang w:val="en-CA"/>
        </w:rPr>
        <w:t xml:space="preserve"> funding for Special Purpose Funds (SPF)</w:t>
      </w:r>
    </w:p>
    <w:p w14:paraId="1AAEB9D0" w14:textId="440C1558" w:rsidR="00B37499" w:rsidRPr="00374181" w:rsidRDefault="00B37499" w:rsidP="00374181">
      <w:pPr>
        <w:rPr>
          <w:lang w:val="en-CA"/>
        </w:rPr>
      </w:pPr>
      <w:r>
        <w:rPr>
          <w:lang w:val="en-CA"/>
        </w:rPr>
        <w:t xml:space="preserve">However, this districts contract with the Nisga’a Lisims Government goes above and beyond other districts in that the Nisga’a Lisims Government has agreed to fund the </w:t>
      </w:r>
      <w:r w:rsidR="00DC013C">
        <w:rPr>
          <w:lang w:val="en-CA"/>
        </w:rPr>
        <w:t>MECC</w:t>
      </w:r>
      <w:r>
        <w:rPr>
          <w:lang w:val="en-CA"/>
        </w:rPr>
        <w:t xml:space="preserve">s recovery of Operating grants, as well as, Special Purpose Grants. </w:t>
      </w:r>
    </w:p>
    <w:p w14:paraId="39A59C5A" w14:textId="440566A2" w:rsidR="00C902BA" w:rsidRDefault="009B0D8C" w:rsidP="00C902BA">
      <w:pPr>
        <w:pStyle w:val="Heading1"/>
        <w:jc w:val="left"/>
        <w:rPr>
          <w:sz w:val="32"/>
          <w:szCs w:val="32"/>
          <w:lang w:val="en-CA"/>
        </w:rPr>
      </w:pPr>
      <w:bookmarkStart w:id="3" w:name="_Toc51594523"/>
      <w:r w:rsidRPr="006B74C1">
        <w:rPr>
          <w:sz w:val="32"/>
          <w:szCs w:val="32"/>
          <w:lang w:val="en-CA"/>
        </w:rPr>
        <w:t>UNDERSTANDING SCHOOL DISTRICT FINANCIAL PERFORMANCE</w:t>
      </w:r>
      <w:bookmarkEnd w:id="3"/>
    </w:p>
    <w:p w14:paraId="1E3F3BBB" w14:textId="77777777" w:rsidR="00C04F34" w:rsidRPr="00C04F34" w:rsidRDefault="00C04F34" w:rsidP="00C04F34">
      <w:pPr>
        <w:rPr>
          <w:lang w:val="en-CA"/>
        </w:rPr>
      </w:pPr>
    </w:p>
    <w:p w14:paraId="20608A2B" w14:textId="1D862765" w:rsidR="006F70B9" w:rsidRDefault="006F70B9">
      <w:pPr>
        <w:rPr>
          <w:lang w:val="en-CA"/>
        </w:rPr>
      </w:pPr>
      <w:bookmarkStart w:id="4" w:name="_Hlk51336200"/>
      <w:r>
        <w:rPr>
          <w:lang w:val="en-CA"/>
        </w:rPr>
        <w:t xml:space="preserve">Annual surplus and accumulated </w:t>
      </w:r>
      <w:bookmarkEnd w:id="4"/>
      <w:r>
        <w:rPr>
          <w:lang w:val="en-CA"/>
        </w:rPr>
        <w:t>surplus are key financial statement performance indicators; however, interpreting the meaning of these figures is complicated by the use of fund</w:t>
      </w:r>
      <w:r w:rsidR="006C7CCC">
        <w:rPr>
          <w:lang w:val="en-CA"/>
        </w:rPr>
        <w:t>s</w:t>
      </w:r>
      <w:r>
        <w:rPr>
          <w:lang w:val="en-CA"/>
        </w:rPr>
        <w:t xml:space="preserve"> and deferral accounting.  The use of fund accounting means the financial statements of school districts are a consolidation of three separate funds (operating, special purpose &amp; capital), and each of these funds differs with respect to the methods of accounting used and the legislative and other constraints on budgeting and financial results</w:t>
      </w:r>
      <w:r w:rsidR="006C7CCC">
        <w:rPr>
          <w:lang w:val="en-CA"/>
        </w:rPr>
        <w:t xml:space="preserve"> which can be found in Note 2 of the financial statements</w:t>
      </w:r>
      <w:r>
        <w:rPr>
          <w:lang w:val="en-CA"/>
        </w:rPr>
        <w:t>. Therefore, financial performance can only be understood by reviewing each fund separately.</w:t>
      </w:r>
    </w:p>
    <w:p w14:paraId="32A15748" w14:textId="67627870" w:rsidR="006F70B9" w:rsidRDefault="006F70B9">
      <w:pPr>
        <w:rPr>
          <w:lang w:val="en-CA"/>
        </w:rPr>
      </w:pPr>
      <w:bookmarkStart w:id="5" w:name="_Toc51594524"/>
      <w:r w:rsidRPr="00B348E5">
        <w:rPr>
          <w:rStyle w:val="Heading3Char"/>
          <w:sz w:val="24"/>
          <w:szCs w:val="24"/>
        </w:rPr>
        <w:t>Operating Funds</w:t>
      </w:r>
      <w:bookmarkEnd w:id="5"/>
      <w:r w:rsidRPr="006F70B9">
        <w:rPr>
          <w:b/>
          <w:lang w:val="en-CA"/>
        </w:rPr>
        <w:t xml:space="preserve"> </w:t>
      </w:r>
      <w:r>
        <w:rPr>
          <w:b/>
          <w:lang w:val="en-CA"/>
        </w:rPr>
        <w:t>–</w:t>
      </w:r>
      <w:r w:rsidRPr="006F70B9">
        <w:rPr>
          <w:b/>
          <w:lang w:val="en-CA"/>
        </w:rPr>
        <w:t xml:space="preserve"> </w:t>
      </w:r>
      <w:r w:rsidR="00253D37">
        <w:rPr>
          <w:lang w:val="en-CA"/>
        </w:rPr>
        <w:t xml:space="preserve">Operating Funds include grants and other </w:t>
      </w:r>
      <w:r w:rsidR="00535E73">
        <w:rPr>
          <w:lang w:val="en-CA"/>
        </w:rPr>
        <w:t>revenue;</w:t>
      </w:r>
      <w:r w:rsidR="00C31803">
        <w:rPr>
          <w:lang w:val="en-CA"/>
        </w:rPr>
        <w:t xml:space="preserve"> they </w:t>
      </w:r>
      <w:r w:rsidR="00253D37">
        <w:rPr>
          <w:lang w:val="en-CA"/>
        </w:rPr>
        <w:t>are</w:t>
      </w:r>
      <w:r w:rsidR="00C31803">
        <w:rPr>
          <w:lang w:val="en-CA"/>
        </w:rPr>
        <w:t xml:space="preserve"> not restricted in use and are recorded as revenue when received or receivable.  These revenues are</w:t>
      </w:r>
      <w:r w:rsidR="00253D37">
        <w:rPr>
          <w:lang w:val="en-CA"/>
        </w:rPr>
        <w:t xml:space="preserve"> used to fund instructional programs; school and district administration; facilities operations; and transportation.  </w:t>
      </w:r>
      <w:r w:rsidR="00ED2844">
        <w:rPr>
          <w:lang w:val="en-CA"/>
        </w:rPr>
        <w:t>As noted above, a</w:t>
      </w:r>
      <w:r w:rsidR="00C31803">
        <w:rPr>
          <w:lang w:val="en-CA"/>
        </w:rPr>
        <w:t xml:space="preserve">ll other districts in the province generally receive more than </w:t>
      </w:r>
      <w:r w:rsidR="00DC013C">
        <w:rPr>
          <w:lang w:val="en-CA"/>
        </w:rPr>
        <w:t>90</w:t>
      </w:r>
      <w:r w:rsidR="00C31803">
        <w:rPr>
          <w:lang w:val="en-CA"/>
        </w:rPr>
        <w:t>% of there funding from t</w:t>
      </w:r>
      <w:r w:rsidR="00253D37">
        <w:rPr>
          <w:lang w:val="en-CA"/>
        </w:rPr>
        <w:t xml:space="preserve">he </w:t>
      </w:r>
      <w:r w:rsidR="00DC013C">
        <w:rPr>
          <w:lang w:val="en-CA"/>
        </w:rPr>
        <w:t>MECC</w:t>
      </w:r>
      <w:r w:rsidR="00C31803">
        <w:rPr>
          <w:lang w:val="en-CA"/>
        </w:rPr>
        <w:t xml:space="preserve">, however, due to our districts uniqueness the Nisga’a Lisims Government actually </w:t>
      </w:r>
      <w:r w:rsidR="00253D37">
        <w:rPr>
          <w:lang w:val="en-CA"/>
        </w:rPr>
        <w:t xml:space="preserve">provides </w:t>
      </w:r>
      <w:r w:rsidR="00DC013C">
        <w:rPr>
          <w:lang w:val="en-CA"/>
        </w:rPr>
        <w:t>8</w:t>
      </w:r>
      <w:r w:rsidR="00C809BC">
        <w:rPr>
          <w:lang w:val="en-CA"/>
        </w:rPr>
        <w:t>7.5</w:t>
      </w:r>
      <w:r w:rsidR="00253D37">
        <w:rPr>
          <w:lang w:val="en-CA"/>
        </w:rPr>
        <w:t>% of the</w:t>
      </w:r>
      <w:r w:rsidR="00666D87">
        <w:rPr>
          <w:lang w:val="en-CA"/>
        </w:rPr>
        <w:t>se</w:t>
      </w:r>
      <w:r w:rsidR="00253D37">
        <w:rPr>
          <w:lang w:val="en-CA"/>
        </w:rPr>
        <w:t xml:space="preserve"> </w:t>
      </w:r>
      <w:r w:rsidR="00666D87">
        <w:rPr>
          <w:lang w:val="en-CA"/>
        </w:rPr>
        <w:t xml:space="preserve">operating </w:t>
      </w:r>
      <w:r w:rsidR="00253D37">
        <w:rPr>
          <w:lang w:val="en-CA"/>
        </w:rPr>
        <w:t>revenues</w:t>
      </w:r>
      <w:r w:rsidR="00374181">
        <w:rPr>
          <w:lang w:val="en-CA"/>
        </w:rPr>
        <w:t xml:space="preserve"> as “Other Revenue”</w:t>
      </w:r>
      <w:r w:rsidR="00666D87">
        <w:rPr>
          <w:lang w:val="en-CA"/>
        </w:rPr>
        <w:t xml:space="preserve">.  </w:t>
      </w:r>
      <w:r w:rsidR="00253D37">
        <w:rPr>
          <w:lang w:val="en-CA"/>
        </w:rPr>
        <w:t>P</w:t>
      </w:r>
      <w:r>
        <w:rPr>
          <w:lang w:val="en-CA"/>
        </w:rPr>
        <w:t>rogram revenues and expenditures are reported with</w:t>
      </w:r>
      <w:r w:rsidR="00DC07AF">
        <w:rPr>
          <w:lang w:val="en-CA"/>
        </w:rPr>
        <w:t>-in</w:t>
      </w:r>
      <w:r>
        <w:rPr>
          <w:lang w:val="en-CA"/>
        </w:rPr>
        <w:t xml:space="preserve"> the operating funds.  Annual and accumulated surplus with the fund</w:t>
      </w:r>
      <w:r w:rsidR="005E4CDC">
        <w:rPr>
          <w:lang w:val="en-CA"/>
        </w:rPr>
        <w:t>s</w:t>
      </w:r>
      <w:r>
        <w:rPr>
          <w:lang w:val="en-CA"/>
        </w:rPr>
        <w:t xml:space="preserve"> are important indicators of financial performance and financial health.  This is because school districts are not permitted to budget for or incur an accumulated deficit position.  This means when a school district has accumulated operating surplus available it can be used t</w:t>
      </w:r>
      <w:r w:rsidR="009E6B27">
        <w:rPr>
          <w:lang w:val="en-CA"/>
        </w:rPr>
        <w:t>o</w:t>
      </w:r>
      <w:r>
        <w:rPr>
          <w:lang w:val="en-CA"/>
        </w:rPr>
        <w:t xml:space="preserve"> budget for future e</w:t>
      </w:r>
      <w:r w:rsidR="009E6B27">
        <w:rPr>
          <w:lang w:val="en-CA"/>
        </w:rPr>
        <w:t>xp</w:t>
      </w:r>
      <w:r>
        <w:rPr>
          <w:lang w:val="en-CA"/>
        </w:rPr>
        <w:t>enditures and to reduce financial risk associated with unforeseen expenditures</w:t>
      </w:r>
      <w:r w:rsidR="009E6B27" w:rsidRPr="00F2157B">
        <w:rPr>
          <w:lang w:val="en-CA"/>
        </w:rPr>
        <w:t>.</w:t>
      </w:r>
      <w:r w:rsidR="00C837DA" w:rsidRPr="00F2157B">
        <w:rPr>
          <w:lang w:val="en-CA"/>
        </w:rPr>
        <w:t xml:space="preserve"> </w:t>
      </w:r>
    </w:p>
    <w:p w14:paraId="729E3FD1" w14:textId="76ABD9A2" w:rsidR="009E6B27" w:rsidRDefault="009E6B27">
      <w:pPr>
        <w:rPr>
          <w:lang w:val="en-CA"/>
        </w:rPr>
      </w:pPr>
      <w:bookmarkStart w:id="6" w:name="_Toc51594525"/>
      <w:r w:rsidRPr="00B348E5">
        <w:rPr>
          <w:rStyle w:val="Heading3Char"/>
          <w:sz w:val="24"/>
          <w:szCs w:val="24"/>
        </w:rPr>
        <w:t>Special Purpose Funds</w:t>
      </w:r>
      <w:bookmarkEnd w:id="6"/>
      <w:r w:rsidRPr="009E6B27">
        <w:rPr>
          <w:b/>
          <w:lang w:val="en-CA"/>
        </w:rPr>
        <w:t xml:space="preserve"> </w:t>
      </w:r>
      <w:r>
        <w:rPr>
          <w:b/>
          <w:lang w:val="en-CA"/>
        </w:rPr>
        <w:t>–</w:t>
      </w:r>
      <w:r w:rsidRPr="009E6B27">
        <w:rPr>
          <w:b/>
          <w:lang w:val="en-CA"/>
        </w:rPr>
        <w:t xml:space="preserve"> </w:t>
      </w:r>
      <w:r>
        <w:rPr>
          <w:lang w:val="en-CA"/>
        </w:rPr>
        <w:t>This fund includes grants and school generated funds that are restricted for a specific purpose</w:t>
      </w:r>
      <w:r w:rsidR="00ED2844">
        <w:rPr>
          <w:lang w:val="en-CA"/>
        </w:rPr>
        <w:t xml:space="preserve"> and are recorded as deferred contributions until the funds are expended</w:t>
      </w:r>
      <w:r>
        <w:rPr>
          <w:lang w:val="en-CA"/>
        </w:rPr>
        <w:t xml:space="preserve">.  </w:t>
      </w:r>
      <w:r w:rsidR="00C31803">
        <w:rPr>
          <w:lang w:val="en-CA"/>
        </w:rPr>
        <w:t xml:space="preserve">It should also be noted that similarly to the above statement all </w:t>
      </w:r>
      <w:r w:rsidR="00ED2844">
        <w:rPr>
          <w:lang w:val="en-CA"/>
        </w:rPr>
        <w:t>S</w:t>
      </w:r>
      <w:r w:rsidR="00C31803">
        <w:rPr>
          <w:lang w:val="en-CA"/>
        </w:rPr>
        <w:t xml:space="preserve">pecial </w:t>
      </w:r>
      <w:r w:rsidR="00ED2844">
        <w:rPr>
          <w:lang w:val="en-CA"/>
        </w:rPr>
        <w:t>P</w:t>
      </w:r>
      <w:r w:rsidR="00C31803">
        <w:rPr>
          <w:lang w:val="en-CA"/>
        </w:rPr>
        <w:t xml:space="preserve">urpose </w:t>
      </w:r>
      <w:r w:rsidR="00ED2844">
        <w:rPr>
          <w:lang w:val="en-CA"/>
        </w:rPr>
        <w:t>F</w:t>
      </w:r>
      <w:r w:rsidR="00C31803">
        <w:rPr>
          <w:lang w:val="en-CA"/>
        </w:rPr>
        <w:t>und</w:t>
      </w:r>
      <w:r w:rsidR="00ED2844">
        <w:rPr>
          <w:lang w:val="en-CA"/>
        </w:rPr>
        <w:t xml:space="preserve"> contributions </w:t>
      </w:r>
      <w:r w:rsidR="00C31803">
        <w:rPr>
          <w:lang w:val="en-CA"/>
        </w:rPr>
        <w:t xml:space="preserve">normally </w:t>
      </w:r>
      <w:r w:rsidR="00ED2844">
        <w:rPr>
          <w:lang w:val="en-CA"/>
        </w:rPr>
        <w:t>received from</w:t>
      </w:r>
      <w:r w:rsidR="00C31803">
        <w:rPr>
          <w:lang w:val="en-CA"/>
        </w:rPr>
        <w:t xml:space="preserve"> the Ministry are funded by the Nisga’a Lisims Government as “Other Revenue”.  </w:t>
      </w:r>
      <w:r>
        <w:rPr>
          <w:lang w:val="en-CA"/>
        </w:rPr>
        <w:t xml:space="preserve">Annual and accumulated surplus is always zero </w:t>
      </w:r>
      <w:r w:rsidR="00535E73">
        <w:rPr>
          <w:lang w:val="en-CA"/>
        </w:rPr>
        <w:t>i</w:t>
      </w:r>
      <w:r w:rsidR="00ED2844">
        <w:rPr>
          <w:lang w:val="en-CA"/>
        </w:rPr>
        <w:t xml:space="preserve">n these accounts </w:t>
      </w:r>
      <w:r>
        <w:rPr>
          <w:lang w:val="en-CA"/>
        </w:rPr>
        <w:t>because revenues are recognized only as related expenses occur (deferral method of accounting).  If expenditures for a program within the special purpose fund exceed available revenues, the resulting deficit is transferred to operating fund reducing accumulated operating surplus.</w:t>
      </w:r>
      <w:r w:rsidR="00C837DA">
        <w:rPr>
          <w:lang w:val="en-CA"/>
        </w:rPr>
        <w:t xml:space="preserve"> </w:t>
      </w:r>
      <w:r w:rsidR="00DC013C">
        <w:rPr>
          <w:lang w:val="en-CA"/>
        </w:rPr>
        <w:t>(202</w:t>
      </w:r>
      <w:r w:rsidR="00C809BC">
        <w:rPr>
          <w:lang w:val="en-CA"/>
        </w:rPr>
        <w:t xml:space="preserve">4 </w:t>
      </w:r>
      <w:r w:rsidR="009C038F">
        <w:rPr>
          <w:lang w:val="en-CA"/>
        </w:rPr>
        <w:t xml:space="preserve">Revenue </w:t>
      </w:r>
      <w:r w:rsidR="00DC013C">
        <w:rPr>
          <w:lang w:val="en-CA"/>
        </w:rPr>
        <w:t>- $</w:t>
      </w:r>
      <w:r w:rsidR="00C809BC">
        <w:rPr>
          <w:lang w:val="en-CA"/>
        </w:rPr>
        <w:t>4.4M</w:t>
      </w:r>
      <w:r w:rsidR="00DC013C">
        <w:rPr>
          <w:lang w:val="en-CA"/>
        </w:rPr>
        <w:t>)</w:t>
      </w:r>
    </w:p>
    <w:p w14:paraId="3C032CE3" w14:textId="02CBB199" w:rsidR="009E6B27" w:rsidRPr="00F2157B" w:rsidRDefault="009E6B27">
      <w:pPr>
        <w:rPr>
          <w:lang w:val="en-CA"/>
        </w:rPr>
      </w:pPr>
      <w:bookmarkStart w:id="7" w:name="_Toc51594526"/>
      <w:r w:rsidRPr="00B348E5">
        <w:rPr>
          <w:rStyle w:val="Heading3Char"/>
          <w:sz w:val="24"/>
          <w:szCs w:val="24"/>
        </w:rPr>
        <w:t>Capital Fund</w:t>
      </w:r>
      <w:bookmarkEnd w:id="7"/>
      <w:r w:rsidRPr="009E6B27">
        <w:rPr>
          <w:b/>
          <w:lang w:val="en-CA"/>
        </w:rPr>
        <w:t xml:space="preserve"> - </w:t>
      </w:r>
      <w:r>
        <w:rPr>
          <w:lang w:val="en-CA"/>
        </w:rPr>
        <w:t xml:space="preserve">Investments in capital assets and their related financing activities are reported in this fund. Capital funding from the province is accounted for using the deferral method of accounting, where recognition of capital revenue is spread out over the life of the related capital assets to match the amortization expense which reflects the use of asset over its useful life. This means that capital fund revenues are not a reflection of funding actually received in any given year.  Capital revenues only offset </w:t>
      </w:r>
      <w:r>
        <w:rPr>
          <w:lang w:val="en-CA"/>
        </w:rPr>
        <w:lastRenderedPageBreak/>
        <w:t>amortization expense in the fund to the extent assets were funded by provincial capital grants.  As many capital investments are fund</w:t>
      </w:r>
      <w:r w:rsidR="00A9233C">
        <w:rPr>
          <w:lang w:val="en-CA"/>
        </w:rPr>
        <w:t>ed</w:t>
      </w:r>
      <w:r>
        <w:rPr>
          <w:lang w:val="en-CA"/>
        </w:rPr>
        <w:t xml:space="preserve"> by operating revenue (recorded as transfers of accumulated operating surplus to the capital fund), this fund </w:t>
      </w:r>
      <w:r w:rsidR="00DC07AF">
        <w:rPr>
          <w:lang w:val="en-CA"/>
        </w:rPr>
        <w:t>may</w:t>
      </w:r>
      <w:r>
        <w:rPr>
          <w:lang w:val="en-CA"/>
        </w:rPr>
        <w:t xml:space="preserve"> report an annual deficit.  Typically, capital fund revenues, expenses and </w:t>
      </w:r>
      <w:r w:rsidRPr="009B0D8C">
        <w:rPr>
          <w:lang w:val="en-CA"/>
        </w:rPr>
        <w:t>annual deficit are not a meaningful indicator of annual financial performance.</w:t>
      </w:r>
      <w:r w:rsidR="00C837DA" w:rsidRPr="009B0D8C">
        <w:rPr>
          <w:lang w:val="en-CA"/>
        </w:rPr>
        <w:t xml:space="preserve"> </w:t>
      </w:r>
      <w:r w:rsidR="009C038F">
        <w:rPr>
          <w:lang w:val="en-CA"/>
        </w:rPr>
        <w:t>(202</w:t>
      </w:r>
      <w:r w:rsidR="00C809BC">
        <w:rPr>
          <w:lang w:val="en-CA"/>
        </w:rPr>
        <w:t>4</w:t>
      </w:r>
      <w:r w:rsidR="009C038F">
        <w:rPr>
          <w:lang w:val="en-CA"/>
        </w:rPr>
        <w:t xml:space="preserve"> Revenue - $</w:t>
      </w:r>
      <w:r w:rsidR="00C809BC">
        <w:rPr>
          <w:lang w:val="en-CA"/>
        </w:rPr>
        <w:t>2.5</w:t>
      </w:r>
      <w:r w:rsidR="009C038F">
        <w:rPr>
          <w:lang w:val="en-CA"/>
        </w:rPr>
        <w:t>M)</w:t>
      </w:r>
    </w:p>
    <w:p w14:paraId="476236AD" w14:textId="55EC8695" w:rsidR="00C902BA" w:rsidRDefault="009B0D8C" w:rsidP="00C902BA">
      <w:pPr>
        <w:pStyle w:val="Heading1"/>
        <w:jc w:val="left"/>
        <w:rPr>
          <w:sz w:val="32"/>
          <w:szCs w:val="32"/>
          <w:lang w:val="en-CA"/>
        </w:rPr>
      </w:pPr>
      <w:bookmarkStart w:id="8" w:name="_Toc51594527"/>
      <w:r w:rsidRPr="00B348E5">
        <w:rPr>
          <w:sz w:val="32"/>
          <w:szCs w:val="32"/>
          <w:lang w:val="en-CA"/>
        </w:rPr>
        <w:t>ANALYSIS OF FINANCIAL STATEMENTS</w:t>
      </w:r>
      <w:bookmarkEnd w:id="8"/>
    </w:p>
    <w:p w14:paraId="6DF3DE5D" w14:textId="77777777" w:rsidR="007824F1" w:rsidRPr="007824F1" w:rsidRDefault="007824F1" w:rsidP="007824F1">
      <w:pPr>
        <w:rPr>
          <w:lang w:val="en-CA"/>
        </w:rPr>
      </w:pPr>
    </w:p>
    <w:p w14:paraId="23A2C881" w14:textId="6CCE824B" w:rsidR="009B0D8C" w:rsidRPr="0050526E" w:rsidRDefault="009B0D8C" w:rsidP="00B348E5">
      <w:pPr>
        <w:pStyle w:val="Heading2"/>
        <w:jc w:val="left"/>
        <w:rPr>
          <w:b/>
          <w:bCs/>
          <w:sz w:val="24"/>
          <w:szCs w:val="24"/>
          <w:lang w:val="en-CA"/>
        </w:rPr>
      </w:pPr>
      <w:bookmarkStart w:id="9" w:name="_Hlk49521644"/>
      <w:bookmarkStart w:id="10" w:name="_Toc51594528"/>
      <w:r w:rsidRPr="0050526E">
        <w:rPr>
          <w:b/>
          <w:bCs/>
          <w:sz w:val="24"/>
          <w:szCs w:val="24"/>
          <w:lang w:val="en-CA"/>
        </w:rPr>
        <w:t xml:space="preserve">FIVE YEAR TREND </w:t>
      </w:r>
      <w:r w:rsidR="00623E33" w:rsidRPr="0050526E">
        <w:rPr>
          <w:b/>
          <w:bCs/>
          <w:sz w:val="24"/>
          <w:szCs w:val="24"/>
          <w:lang w:val="en-CA"/>
        </w:rPr>
        <w:t>– STATEMENT OF FINANCIAL POSITION (Statement 1 – All Funds)</w:t>
      </w:r>
      <w:bookmarkEnd w:id="9"/>
      <w:bookmarkEnd w:id="10"/>
    </w:p>
    <w:p w14:paraId="49695FB2" w14:textId="77777777" w:rsidR="00B348E5" w:rsidRPr="00B348E5" w:rsidRDefault="00B348E5" w:rsidP="00B348E5">
      <w:pPr>
        <w:rPr>
          <w:lang w:val="en-CA"/>
        </w:rPr>
      </w:pPr>
    </w:p>
    <w:p w14:paraId="5BEA163F" w14:textId="6327696B" w:rsidR="005D257B" w:rsidRDefault="00784E87">
      <w:pPr>
        <w:rPr>
          <w:noProof/>
        </w:rPr>
      </w:pPr>
      <w:bookmarkStart w:id="11" w:name="_Toc51594529"/>
      <w:r w:rsidRPr="0050526E">
        <w:rPr>
          <w:rStyle w:val="Heading3Char"/>
          <w:b/>
          <w:bCs/>
          <w:color w:val="E36C0A" w:themeColor="accent6" w:themeShade="BF"/>
          <w:sz w:val="24"/>
          <w:szCs w:val="24"/>
        </w:rPr>
        <w:t>Cash and cash Equivalents</w:t>
      </w:r>
      <w:bookmarkEnd w:id="11"/>
      <w:r w:rsidRPr="0050526E">
        <w:rPr>
          <w:color w:val="E36C0A" w:themeColor="accent6" w:themeShade="BF"/>
          <w:lang w:val="en-CA"/>
        </w:rPr>
        <w:t xml:space="preserve"> </w:t>
      </w:r>
      <w:r>
        <w:rPr>
          <w:lang w:val="en-CA"/>
        </w:rPr>
        <w:t xml:space="preserve">have </w:t>
      </w:r>
      <w:r w:rsidR="00ED2844">
        <w:rPr>
          <w:lang w:val="en-CA"/>
        </w:rPr>
        <w:t xml:space="preserve">fluctuated </w:t>
      </w:r>
      <w:r>
        <w:rPr>
          <w:lang w:val="en-CA"/>
        </w:rPr>
        <w:t>over the past five years, this is in conjunction with new Ministerial guidelines for surplus policies</w:t>
      </w:r>
      <w:r w:rsidR="00F554B6">
        <w:rPr>
          <w:lang w:val="en-CA"/>
        </w:rPr>
        <w:t xml:space="preserve">, </w:t>
      </w:r>
      <w:r>
        <w:rPr>
          <w:lang w:val="en-CA"/>
        </w:rPr>
        <w:t>building of contingency funds (Internally Restricted Surplus)</w:t>
      </w:r>
      <w:r w:rsidR="00F554B6">
        <w:rPr>
          <w:lang w:val="en-CA"/>
        </w:rPr>
        <w:t xml:space="preserve"> and the </w:t>
      </w:r>
      <w:r w:rsidR="005B4B51">
        <w:rPr>
          <w:lang w:val="en-CA"/>
        </w:rPr>
        <w:t xml:space="preserve">internal </w:t>
      </w:r>
      <w:r w:rsidR="00F554B6">
        <w:rPr>
          <w:lang w:val="en-CA"/>
        </w:rPr>
        <w:t>hou</w:t>
      </w:r>
      <w:r w:rsidR="005B4B51">
        <w:rPr>
          <w:lang w:val="en-CA"/>
        </w:rPr>
        <w:t xml:space="preserve">sing </w:t>
      </w:r>
      <w:r w:rsidR="00F554B6">
        <w:rPr>
          <w:lang w:val="en-CA"/>
        </w:rPr>
        <w:t xml:space="preserve">projects over the last </w:t>
      </w:r>
      <w:r w:rsidR="005B4B51">
        <w:rPr>
          <w:lang w:val="en-CA"/>
        </w:rPr>
        <w:t>few</w:t>
      </w:r>
      <w:r w:rsidR="00F554B6">
        <w:rPr>
          <w:lang w:val="en-CA"/>
        </w:rPr>
        <w:t xml:space="preserve"> years</w:t>
      </w:r>
      <w:r w:rsidR="00A74281">
        <w:rPr>
          <w:lang w:val="en-CA"/>
        </w:rPr>
        <w:t xml:space="preserve">.  </w:t>
      </w:r>
      <w:r w:rsidR="005B4B51">
        <w:rPr>
          <w:lang w:val="en-CA"/>
        </w:rPr>
        <w:t xml:space="preserve">The district has </w:t>
      </w:r>
      <w:r w:rsidR="00C809BC">
        <w:rPr>
          <w:lang w:val="en-CA"/>
        </w:rPr>
        <w:t>had a decline in</w:t>
      </w:r>
      <w:r w:rsidR="005B4B51">
        <w:rPr>
          <w:lang w:val="en-CA"/>
        </w:rPr>
        <w:t xml:space="preserve"> cash this year as, </w:t>
      </w:r>
      <w:r w:rsidR="00FC4678">
        <w:rPr>
          <w:lang w:val="en-CA"/>
        </w:rPr>
        <w:t xml:space="preserve">there </w:t>
      </w:r>
      <w:r w:rsidR="00CE1734">
        <w:rPr>
          <w:lang w:val="en-CA"/>
        </w:rPr>
        <w:t>was a discovery during the year regarding washrooms at NESS, this resulted in additional unbudgeted expenses, over $1.6M that came out of cash</w:t>
      </w:r>
      <w:r w:rsidR="005B4B51">
        <w:rPr>
          <w:lang w:val="en-CA"/>
        </w:rPr>
        <w:t xml:space="preserve">.  </w:t>
      </w:r>
      <w:r w:rsidR="00A74281">
        <w:rPr>
          <w:lang w:val="en-CA"/>
        </w:rPr>
        <w:t>At June 30, 202</w:t>
      </w:r>
      <w:r w:rsidR="00C809BC">
        <w:rPr>
          <w:lang w:val="en-CA"/>
        </w:rPr>
        <w:t>4</w:t>
      </w:r>
      <w:r w:rsidR="0050526E">
        <w:rPr>
          <w:lang w:val="en-CA"/>
        </w:rPr>
        <w:t xml:space="preserve"> </w:t>
      </w:r>
      <w:r w:rsidR="00A74281">
        <w:rPr>
          <w:lang w:val="en-CA"/>
        </w:rPr>
        <w:t>the district is reporting $</w:t>
      </w:r>
      <w:r w:rsidR="00C809BC">
        <w:rPr>
          <w:lang w:val="en-CA"/>
        </w:rPr>
        <w:t>5.08</w:t>
      </w:r>
      <w:r w:rsidR="00A74281">
        <w:rPr>
          <w:lang w:val="en-CA"/>
        </w:rPr>
        <w:t>M in cash and cash equivalents.</w:t>
      </w:r>
      <w:r w:rsidR="00F554B6" w:rsidRPr="00F554B6">
        <w:rPr>
          <w:noProof/>
        </w:rPr>
        <w:t xml:space="preserve"> </w:t>
      </w:r>
    </w:p>
    <w:p w14:paraId="7F02A619" w14:textId="3F5325A8" w:rsidR="0050526E" w:rsidRDefault="00C809BC">
      <w:pPr>
        <w:rPr>
          <w:noProof/>
        </w:rPr>
      </w:pPr>
      <w:r>
        <w:rPr>
          <w:noProof/>
        </w:rPr>
        <w:drawing>
          <wp:inline distT="0" distB="0" distL="0" distR="0" wp14:anchorId="04272633" wp14:editId="244A11EF">
            <wp:extent cx="5676900" cy="2857500"/>
            <wp:effectExtent l="0" t="0" r="0" b="0"/>
            <wp:docPr id="8983110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2857500"/>
                    </a:xfrm>
                    <a:prstGeom prst="rect">
                      <a:avLst/>
                    </a:prstGeom>
                    <a:noFill/>
                  </pic:spPr>
                </pic:pic>
              </a:graphicData>
            </a:graphic>
          </wp:inline>
        </w:drawing>
      </w:r>
    </w:p>
    <w:p w14:paraId="2A3FD9AC" w14:textId="4B69E637" w:rsidR="00C74179" w:rsidRDefault="00C74179">
      <w:pPr>
        <w:rPr>
          <w:lang w:val="en-CA"/>
        </w:rPr>
      </w:pPr>
    </w:p>
    <w:p w14:paraId="4B9132FD" w14:textId="627EDC05" w:rsidR="00623E33" w:rsidRDefault="00BC7C8E">
      <w:pPr>
        <w:rPr>
          <w:lang w:val="en-CA"/>
        </w:rPr>
      </w:pPr>
      <w:r>
        <w:rPr>
          <w:lang w:val="en-CA"/>
        </w:rPr>
        <w:t xml:space="preserve">Cash on hand is not necessarily available for new initiatives as </w:t>
      </w:r>
      <w:r w:rsidR="00F554B6">
        <w:rPr>
          <w:lang w:val="en-CA"/>
        </w:rPr>
        <w:t xml:space="preserve">portions of it may come from unspent Special Purpose Funds and Capital funds that are for targeted purposes.  Any initiatives will be decided by the Board through their </w:t>
      </w:r>
      <w:r w:rsidR="005D49EB">
        <w:rPr>
          <w:lang w:val="en-CA"/>
        </w:rPr>
        <w:t>Procedures OP-504</w:t>
      </w:r>
      <w:r w:rsidR="00A74281">
        <w:rPr>
          <w:lang w:val="en-CA"/>
        </w:rPr>
        <w:t xml:space="preserve"> </w:t>
      </w:r>
      <w:r w:rsidR="006C4F03">
        <w:rPr>
          <w:lang w:val="en-CA"/>
        </w:rPr>
        <w:t>Accumulated Operating Surplus</w:t>
      </w:r>
      <w:r w:rsidR="00F554B6">
        <w:rPr>
          <w:lang w:val="en-CA"/>
        </w:rPr>
        <w:t>.</w:t>
      </w:r>
    </w:p>
    <w:p w14:paraId="078EF647" w14:textId="77777777" w:rsidR="00C902BA" w:rsidRDefault="00C902BA">
      <w:pPr>
        <w:rPr>
          <w:lang w:val="en-CA"/>
        </w:rPr>
      </w:pPr>
    </w:p>
    <w:p w14:paraId="19153E4E" w14:textId="4A0B7F7C" w:rsidR="00A74281" w:rsidRDefault="00A74281">
      <w:pPr>
        <w:rPr>
          <w:lang w:val="en-CA"/>
        </w:rPr>
      </w:pPr>
      <w:bookmarkStart w:id="12" w:name="_Toc51594530"/>
      <w:r w:rsidRPr="0050526E">
        <w:rPr>
          <w:rStyle w:val="Heading3Char"/>
          <w:b/>
          <w:bCs/>
          <w:color w:val="E36C0A" w:themeColor="accent6" w:themeShade="BF"/>
          <w:sz w:val="24"/>
          <w:szCs w:val="24"/>
        </w:rPr>
        <w:t>Liquidity</w:t>
      </w:r>
      <w:bookmarkEnd w:id="12"/>
      <w:r>
        <w:rPr>
          <w:lang w:val="en-CA"/>
        </w:rPr>
        <w:t>, or the current ratio, is calculated as current assets divided by current liabilities.  If the current ratio is greater than or equal to 1, then there are sufficient assets on hand to meet current liabilities.  In this case, current liabilities are equal to total liabilities less deferred capital revenue</w:t>
      </w:r>
      <w:r w:rsidR="001E3A53">
        <w:rPr>
          <w:lang w:val="en-CA"/>
        </w:rPr>
        <w:t>.  As at June 30, 202</w:t>
      </w:r>
      <w:r w:rsidR="00CE1734">
        <w:rPr>
          <w:lang w:val="en-CA"/>
        </w:rPr>
        <w:t>4</w:t>
      </w:r>
      <w:r w:rsidR="001E3A53">
        <w:rPr>
          <w:lang w:val="en-CA"/>
        </w:rPr>
        <w:t xml:space="preserve"> the </w:t>
      </w:r>
      <w:r w:rsidR="001E3A53">
        <w:rPr>
          <w:lang w:val="en-CA"/>
        </w:rPr>
        <w:lastRenderedPageBreak/>
        <w:t xml:space="preserve">district is reporting a current ratio of </w:t>
      </w:r>
      <w:r w:rsidR="00CE1734">
        <w:rPr>
          <w:lang w:val="en-CA"/>
        </w:rPr>
        <w:t>2.05 or 2 times the amount necessary to cover expenses or debt</w:t>
      </w:r>
      <w:r w:rsidR="001E3A53">
        <w:rPr>
          <w:lang w:val="en-CA"/>
        </w:rPr>
        <w:t>.</w:t>
      </w:r>
      <w:r w:rsidR="009C038F">
        <w:rPr>
          <w:lang w:val="en-CA"/>
        </w:rPr>
        <w:t xml:space="preserve">  It must also be noted that the current ratio for 2022 has been restated due to a prior period adjustment for Asset Retirement Obligations that came into effect in 2022 but were not recorded until now.  The restatement moves 2022’s current ratio from 3.48 to 2.73.</w:t>
      </w:r>
    </w:p>
    <w:p w14:paraId="126EE232" w14:textId="21E65D30" w:rsidR="009C038F" w:rsidRDefault="00CE1734">
      <w:pPr>
        <w:rPr>
          <w:lang w:val="en-CA"/>
        </w:rPr>
      </w:pPr>
      <w:r>
        <w:rPr>
          <w:noProof/>
          <w:lang w:val="en-CA"/>
        </w:rPr>
        <w:drawing>
          <wp:inline distT="0" distB="0" distL="0" distR="0" wp14:anchorId="6BBBF8A4" wp14:editId="5E64FEDF">
            <wp:extent cx="5591175" cy="3330699"/>
            <wp:effectExtent l="0" t="0" r="0" b="3175"/>
            <wp:docPr id="456828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485" cy="3334458"/>
                    </a:xfrm>
                    <a:prstGeom prst="rect">
                      <a:avLst/>
                    </a:prstGeom>
                    <a:noFill/>
                  </pic:spPr>
                </pic:pic>
              </a:graphicData>
            </a:graphic>
          </wp:inline>
        </w:drawing>
      </w:r>
    </w:p>
    <w:p w14:paraId="24B84068" w14:textId="2C57B31C" w:rsidR="002B0171" w:rsidRDefault="002B0171">
      <w:pPr>
        <w:rPr>
          <w:lang w:val="en-CA"/>
        </w:rPr>
      </w:pPr>
    </w:p>
    <w:p w14:paraId="36821CCB" w14:textId="480B06DE" w:rsidR="0050526E" w:rsidRDefault="002B0171">
      <w:pPr>
        <w:rPr>
          <w:lang w:val="en-CA"/>
        </w:rPr>
      </w:pPr>
      <w:bookmarkStart w:id="13" w:name="_Toc51594531"/>
      <w:r w:rsidRPr="008C1912">
        <w:rPr>
          <w:rStyle w:val="Heading3Char"/>
          <w:b/>
          <w:bCs/>
          <w:color w:val="E36C0A" w:themeColor="accent6" w:themeShade="BF"/>
          <w:sz w:val="24"/>
          <w:szCs w:val="24"/>
        </w:rPr>
        <w:t>Cash Asset Ratio</w:t>
      </w:r>
      <w:bookmarkEnd w:id="13"/>
      <w:r w:rsidRPr="0050526E">
        <w:rPr>
          <w:color w:val="E36C0A" w:themeColor="accent6" w:themeShade="BF"/>
          <w:lang w:val="en-CA"/>
        </w:rPr>
        <w:t xml:space="preserve"> </w:t>
      </w:r>
      <w:r>
        <w:rPr>
          <w:lang w:val="en-CA"/>
        </w:rPr>
        <w:t xml:space="preserve">is another tool to assess the </w:t>
      </w:r>
      <w:r w:rsidR="00CE1734">
        <w:rPr>
          <w:lang w:val="en-CA"/>
        </w:rPr>
        <w:t>districts’</w:t>
      </w:r>
      <w:r>
        <w:rPr>
          <w:lang w:val="en-CA"/>
        </w:rPr>
        <w:t xml:space="preserve"> ability to meet their current liabilities.  It is the result of cash and cash equivalents divided by current liabilities and determines how quickly obligations can be met.</w:t>
      </w:r>
      <w:r w:rsidR="00186C62">
        <w:rPr>
          <w:lang w:val="en-CA"/>
        </w:rPr>
        <w:t xml:space="preserve">  A ratio over 1 (100%) indicates that the district has more than enough cash on hand to satisfy all obligations.</w:t>
      </w:r>
      <w:r w:rsidR="00CE1734">
        <w:rPr>
          <w:noProof/>
          <w:lang w:val="en-CA"/>
        </w:rPr>
        <w:drawing>
          <wp:inline distT="0" distB="0" distL="0" distR="0" wp14:anchorId="2281B9D1" wp14:editId="659B84A5">
            <wp:extent cx="5715000" cy="3016885"/>
            <wp:effectExtent l="0" t="0" r="0" b="0"/>
            <wp:docPr id="18535057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1866" cy="3031067"/>
                    </a:xfrm>
                    <a:prstGeom prst="rect">
                      <a:avLst/>
                    </a:prstGeom>
                    <a:noFill/>
                  </pic:spPr>
                </pic:pic>
              </a:graphicData>
            </a:graphic>
          </wp:inline>
        </w:drawing>
      </w:r>
    </w:p>
    <w:p w14:paraId="29CC5D18" w14:textId="7F258334" w:rsidR="002B0171" w:rsidRDefault="00376407">
      <w:pPr>
        <w:rPr>
          <w:lang w:val="en-CA"/>
        </w:rPr>
      </w:pPr>
      <w:r>
        <w:rPr>
          <w:lang w:val="en-CA"/>
        </w:rPr>
        <w:lastRenderedPageBreak/>
        <w:t xml:space="preserve"> </w:t>
      </w:r>
      <w:r w:rsidR="002B0171">
        <w:rPr>
          <w:lang w:val="en-CA"/>
        </w:rPr>
        <w:t xml:space="preserve"> As at June 30, 202</w:t>
      </w:r>
      <w:r w:rsidR="00CE1734">
        <w:rPr>
          <w:lang w:val="en-CA"/>
        </w:rPr>
        <w:t>4</w:t>
      </w:r>
      <w:r w:rsidR="002B0171">
        <w:rPr>
          <w:lang w:val="en-CA"/>
        </w:rPr>
        <w:t xml:space="preserve"> the districted reported a cash asset ratio of </w:t>
      </w:r>
      <w:r w:rsidR="00024F74">
        <w:rPr>
          <w:lang w:val="en-CA"/>
        </w:rPr>
        <w:t>1.6</w:t>
      </w:r>
      <w:r w:rsidR="00186C62">
        <w:rPr>
          <w:lang w:val="en-CA"/>
        </w:rPr>
        <w:t xml:space="preserve"> (</w:t>
      </w:r>
      <w:r w:rsidR="00024F74">
        <w:rPr>
          <w:lang w:val="en-CA"/>
        </w:rPr>
        <w:t>16</w:t>
      </w:r>
      <w:r w:rsidR="00CE1734">
        <w:rPr>
          <w:lang w:val="en-CA"/>
        </w:rPr>
        <w:t>0</w:t>
      </w:r>
      <w:r w:rsidR="002B0171">
        <w:rPr>
          <w:lang w:val="en-CA"/>
        </w:rPr>
        <w:t>%) and can easily meet their obligations.</w:t>
      </w:r>
      <w:r w:rsidR="00186C62">
        <w:rPr>
          <w:lang w:val="en-CA"/>
        </w:rPr>
        <w:t xml:space="preserve"> </w:t>
      </w:r>
      <w:r w:rsidR="00024F74">
        <w:rPr>
          <w:lang w:val="en-CA"/>
        </w:rPr>
        <w:t>Further 2022 was restated as noted above from 3.39 (339%) to 2.66 (266%)</w:t>
      </w:r>
      <w:r w:rsidR="00186C62">
        <w:rPr>
          <w:lang w:val="en-CA"/>
        </w:rPr>
        <w:t xml:space="preserve"> </w:t>
      </w:r>
    </w:p>
    <w:p w14:paraId="14661F42" w14:textId="77777777" w:rsidR="00024F74" w:rsidRDefault="00024F74" w:rsidP="00B348E5">
      <w:pPr>
        <w:pStyle w:val="Heading2"/>
        <w:jc w:val="left"/>
        <w:rPr>
          <w:b/>
          <w:bCs/>
          <w:sz w:val="24"/>
          <w:szCs w:val="24"/>
          <w:lang w:val="en-CA"/>
        </w:rPr>
      </w:pPr>
      <w:bookmarkStart w:id="14" w:name="_Toc51594532"/>
      <w:bookmarkStart w:id="15" w:name="_Hlk113366077"/>
    </w:p>
    <w:p w14:paraId="4F27FEFD" w14:textId="18DA93D5" w:rsidR="00F740FC" w:rsidRPr="0050526E" w:rsidRDefault="009B0D8C" w:rsidP="00B348E5">
      <w:pPr>
        <w:pStyle w:val="Heading2"/>
        <w:jc w:val="left"/>
        <w:rPr>
          <w:b/>
          <w:bCs/>
          <w:sz w:val="24"/>
          <w:szCs w:val="24"/>
          <w:lang w:val="en-CA"/>
        </w:rPr>
      </w:pPr>
      <w:r w:rsidRPr="0050526E">
        <w:rPr>
          <w:b/>
          <w:bCs/>
          <w:sz w:val="24"/>
          <w:szCs w:val="24"/>
          <w:lang w:val="en-CA"/>
        </w:rPr>
        <w:t xml:space="preserve">FIVE YEAR TREND </w:t>
      </w:r>
      <w:r w:rsidR="00F740FC" w:rsidRPr="0050526E">
        <w:rPr>
          <w:b/>
          <w:bCs/>
          <w:sz w:val="24"/>
          <w:szCs w:val="24"/>
          <w:lang w:val="en-CA"/>
        </w:rPr>
        <w:t>– STATEMENT OF OPERATIONS (Statement 2 – All Funds)</w:t>
      </w:r>
      <w:bookmarkEnd w:id="14"/>
    </w:p>
    <w:bookmarkEnd w:id="15"/>
    <w:p w14:paraId="6789D44D" w14:textId="77777777" w:rsidR="0094397A" w:rsidRPr="0094397A" w:rsidRDefault="0094397A" w:rsidP="0094397A">
      <w:pPr>
        <w:rPr>
          <w:lang w:val="en-CA"/>
        </w:rPr>
      </w:pPr>
    </w:p>
    <w:p w14:paraId="73ACBD81" w14:textId="6BEEA31E" w:rsidR="00C66040" w:rsidRDefault="00F740FC" w:rsidP="00C705B3">
      <w:pPr>
        <w:rPr>
          <w:bCs/>
          <w:lang w:val="en-CA"/>
        </w:rPr>
      </w:pPr>
      <w:bookmarkStart w:id="16" w:name="_Toc51594533"/>
      <w:r w:rsidRPr="0050526E">
        <w:rPr>
          <w:rStyle w:val="Heading3Char"/>
          <w:color w:val="E36C0A" w:themeColor="accent6" w:themeShade="BF"/>
          <w:sz w:val="24"/>
          <w:szCs w:val="24"/>
        </w:rPr>
        <w:t>Total Revenues</w:t>
      </w:r>
      <w:bookmarkEnd w:id="16"/>
      <w:r w:rsidRPr="0050526E">
        <w:rPr>
          <w:bCs/>
          <w:color w:val="E36C0A" w:themeColor="accent6" w:themeShade="BF"/>
          <w:lang w:val="en-CA"/>
        </w:rPr>
        <w:t xml:space="preserve"> </w:t>
      </w:r>
      <w:r>
        <w:rPr>
          <w:bCs/>
          <w:lang w:val="en-CA"/>
        </w:rPr>
        <w:t>for all funds have been continually increasing over the past five years moving from $</w:t>
      </w:r>
      <w:r w:rsidR="00024F74">
        <w:rPr>
          <w:bCs/>
          <w:lang w:val="en-CA"/>
        </w:rPr>
        <w:t>10.</w:t>
      </w:r>
      <w:r w:rsidR="00CE1734">
        <w:rPr>
          <w:bCs/>
          <w:lang w:val="en-CA"/>
        </w:rPr>
        <w:t>78M</w:t>
      </w:r>
      <w:r w:rsidR="00024F74">
        <w:rPr>
          <w:bCs/>
          <w:lang w:val="en-CA"/>
        </w:rPr>
        <w:t xml:space="preserve"> in </w:t>
      </w:r>
      <w:r w:rsidR="00CE1734">
        <w:rPr>
          <w:bCs/>
          <w:lang w:val="en-CA"/>
        </w:rPr>
        <w:t>2019-20</w:t>
      </w:r>
      <w:r>
        <w:rPr>
          <w:bCs/>
          <w:lang w:val="en-CA"/>
        </w:rPr>
        <w:t xml:space="preserve"> to $</w:t>
      </w:r>
      <w:r w:rsidR="00056B3F">
        <w:rPr>
          <w:bCs/>
          <w:lang w:val="en-CA"/>
        </w:rPr>
        <w:t>12.</w:t>
      </w:r>
      <w:r w:rsidR="00CE1734">
        <w:rPr>
          <w:bCs/>
          <w:lang w:val="en-CA"/>
        </w:rPr>
        <w:t>99</w:t>
      </w:r>
      <w:r>
        <w:rPr>
          <w:bCs/>
          <w:lang w:val="en-CA"/>
        </w:rPr>
        <w:t xml:space="preserve">M in </w:t>
      </w:r>
      <w:r w:rsidR="00CE1734">
        <w:rPr>
          <w:bCs/>
          <w:lang w:val="en-CA"/>
        </w:rPr>
        <w:t>2023-24.</w:t>
      </w:r>
      <w:r>
        <w:rPr>
          <w:bCs/>
          <w:lang w:val="en-CA"/>
        </w:rPr>
        <w:t xml:space="preserve">  This is mainly due to </w:t>
      </w:r>
      <w:r w:rsidR="00056B3F">
        <w:rPr>
          <w:bCs/>
          <w:lang w:val="en-CA"/>
        </w:rPr>
        <w:t>Special Purpose Fund grants from FNESC and</w:t>
      </w:r>
      <w:r w:rsidR="00616892">
        <w:rPr>
          <w:bCs/>
          <w:lang w:val="en-CA"/>
        </w:rPr>
        <w:t xml:space="preserve"> additional Ministry grants </w:t>
      </w:r>
      <w:r w:rsidR="00024F74">
        <w:rPr>
          <w:bCs/>
          <w:lang w:val="en-CA"/>
        </w:rPr>
        <w:t xml:space="preserve">for new SPF initiatives </w:t>
      </w:r>
      <w:r w:rsidR="0067156C">
        <w:rPr>
          <w:bCs/>
          <w:lang w:val="en-CA"/>
        </w:rPr>
        <w:t>Feeding Futures School Food Program,</w:t>
      </w:r>
      <w:r w:rsidR="00024F74">
        <w:rPr>
          <w:bCs/>
          <w:lang w:val="en-CA"/>
        </w:rPr>
        <w:t xml:space="preserve"> as well as the Labour Settlement grants</w:t>
      </w:r>
      <w:r w:rsidR="00D965D9">
        <w:rPr>
          <w:bCs/>
          <w:lang w:val="en-CA"/>
        </w:rPr>
        <w:t>.  The Nisga’a Lisims Government prov</w:t>
      </w:r>
      <w:r w:rsidR="00C87699">
        <w:rPr>
          <w:bCs/>
          <w:lang w:val="en-CA"/>
        </w:rPr>
        <w:t>ide</w:t>
      </w:r>
      <w:r w:rsidR="00A808D0">
        <w:rPr>
          <w:bCs/>
          <w:lang w:val="en-CA"/>
        </w:rPr>
        <w:t>d</w:t>
      </w:r>
      <w:r w:rsidR="00C87699">
        <w:rPr>
          <w:bCs/>
          <w:lang w:val="en-CA"/>
        </w:rPr>
        <w:t xml:space="preserve"> </w:t>
      </w:r>
      <w:r w:rsidR="0067156C">
        <w:rPr>
          <w:bCs/>
          <w:lang w:val="en-CA"/>
        </w:rPr>
        <w:t>87.5</w:t>
      </w:r>
      <w:r w:rsidR="00C87699">
        <w:rPr>
          <w:bCs/>
          <w:lang w:val="en-CA"/>
        </w:rPr>
        <w:t xml:space="preserve">% of the district’s funding in </w:t>
      </w:r>
      <w:r w:rsidR="00024F74">
        <w:rPr>
          <w:bCs/>
          <w:lang w:val="en-CA"/>
        </w:rPr>
        <w:t>202</w:t>
      </w:r>
      <w:r w:rsidR="0067156C">
        <w:rPr>
          <w:bCs/>
          <w:lang w:val="en-CA"/>
        </w:rPr>
        <w:t>3</w:t>
      </w:r>
      <w:r w:rsidR="00024F74">
        <w:rPr>
          <w:bCs/>
          <w:lang w:val="en-CA"/>
        </w:rPr>
        <w:t>-2</w:t>
      </w:r>
      <w:r w:rsidR="0067156C">
        <w:rPr>
          <w:bCs/>
          <w:lang w:val="en-CA"/>
        </w:rPr>
        <w:t>4</w:t>
      </w:r>
      <w:r w:rsidR="00C87699">
        <w:rPr>
          <w:bCs/>
          <w:lang w:val="en-CA"/>
        </w:rPr>
        <w:t>.</w:t>
      </w:r>
    </w:p>
    <w:p w14:paraId="1356D235" w14:textId="77777777" w:rsidR="0067156C" w:rsidRDefault="0067156C" w:rsidP="00C705B3">
      <w:pPr>
        <w:rPr>
          <w:bCs/>
          <w:lang w:val="en-CA"/>
        </w:rPr>
      </w:pPr>
    </w:p>
    <w:p w14:paraId="7B87DADF" w14:textId="01109114" w:rsidR="00616892" w:rsidRDefault="0067156C" w:rsidP="00C705B3">
      <w:pPr>
        <w:rPr>
          <w:bCs/>
          <w:lang w:val="en-CA"/>
        </w:rPr>
      </w:pPr>
      <w:r>
        <w:rPr>
          <w:bCs/>
          <w:noProof/>
          <w:lang w:val="en-CA"/>
        </w:rPr>
        <w:drawing>
          <wp:inline distT="0" distB="0" distL="0" distR="0" wp14:anchorId="7F57317A" wp14:editId="156125AA">
            <wp:extent cx="6191506" cy="3084830"/>
            <wp:effectExtent l="0" t="0" r="0" b="1270"/>
            <wp:docPr id="5826809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506" cy="3084830"/>
                    </a:xfrm>
                    <a:prstGeom prst="rect">
                      <a:avLst/>
                    </a:prstGeom>
                    <a:noFill/>
                  </pic:spPr>
                </pic:pic>
              </a:graphicData>
            </a:graphic>
          </wp:inline>
        </w:drawing>
      </w:r>
    </w:p>
    <w:p w14:paraId="7C16D7B0" w14:textId="77777777" w:rsidR="00024F74" w:rsidRDefault="00024F74" w:rsidP="00C705B3">
      <w:pPr>
        <w:rPr>
          <w:bCs/>
          <w:lang w:val="en-CA"/>
        </w:rPr>
      </w:pPr>
    </w:p>
    <w:p w14:paraId="1CC42450" w14:textId="00D99A02" w:rsidR="00C66040" w:rsidRDefault="00C87699" w:rsidP="00C705B3">
      <w:pPr>
        <w:rPr>
          <w:bCs/>
          <w:lang w:val="en-CA"/>
        </w:rPr>
      </w:pPr>
      <w:r>
        <w:rPr>
          <w:bCs/>
          <w:lang w:val="en-CA"/>
        </w:rPr>
        <w:t xml:space="preserve">The </w:t>
      </w:r>
      <w:r w:rsidR="00DC013C">
        <w:rPr>
          <w:bCs/>
          <w:lang w:val="en-CA"/>
        </w:rPr>
        <w:t>MECC</w:t>
      </w:r>
      <w:r>
        <w:rPr>
          <w:bCs/>
          <w:lang w:val="en-CA"/>
        </w:rPr>
        <w:t xml:space="preserve"> </w:t>
      </w:r>
      <w:r w:rsidR="0067156C">
        <w:rPr>
          <w:bCs/>
          <w:lang w:val="en-CA"/>
        </w:rPr>
        <w:t xml:space="preserve">only </w:t>
      </w:r>
      <w:r>
        <w:rPr>
          <w:bCs/>
          <w:lang w:val="en-CA"/>
        </w:rPr>
        <w:t>provide</w:t>
      </w:r>
      <w:r w:rsidR="0067156C">
        <w:rPr>
          <w:bCs/>
          <w:lang w:val="en-CA"/>
        </w:rPr>
        <w:t>d</w:t>
      </w:r>
      <w:r>
        <w:rPr>
          <w:bCs/>
          <w:lang w:val="en-CA"/>
        </w:rPr>
        <w:t xml:space="preserve"> </w:t>
      </w:r>
      <w:r w:rsidR="0067156C">
        <w:rPr>
          <w:bCs/>
          <w:lang w:val="en-CA"/>
        </w:rPr>
        <w:t>1.54</w:t>
      </w:r>
      <w:r>
        <w:rPr>
          <w:bCs/>
          <w:lang w:val="en-CA"/>
        </w:rPr>
        <w:t>%</w:t>
      </w:r>
      <w:r w:rsidR="0067156C">
        <w:rPr>
          <w:bCs/>
          <w:lang w:val="en-CA"/>
        </w:rPr>
        <w:t xml:space="preserve"> in 2023-24, with</w:t>
      </w:r>
      <w:r>
        <w:rPr>
          <w:bCs/>
          <w:lang w:val="en-CA"/>
        </w:rPr>
        <w:t xml:space="preserve"> Rentals and Leases (the districts housing initiative) mak</w:t>
      </w:r>
      <w:r w:rsidR="0067156C">
        <w:rPr>
          <w:bCs/>
          <w:lang w:val="en-CA"/>
        </w:rPr>
        <w:t>ing</w:t>
      </w:r>
      <w:r>
        <w:rPr>
          <w:bCs/>
          <w:lang w:val="en-CA"/>
        </w:rPr>
        <w:t xml:space="preserve"> up </w:t>
      </w:r>
      <w:r w:rsidR="00A808D0">
        <w:rPr>
          <w:bCs/>
          <w:lang w:val="en-CA"/>
        </w:rPr>
        <w:t>1.</w:t>
      </w:r>
      <w:r w:rsidR="0067156C">
        <w:rPr>
          <w:bCs/>
          <w:lang w:val="en-CA"/>
        </w:rPr>
        <w:t>5</w:t>
      </w:r>
      <w:r>
        <w:rPr>
          <w:bCs/>
          <w:lang w:val="en-CA"/>
        </w:rPr>
        <w:t>%</w:t>
      </w:r>
      <w:r w:rsidR="00B91813">
        <w:rPr>
          <w:bCs/>
          <w:lang w:val="en-CA"/>
        </w:rPr>
        <w:t xml:space="preserve">.  The third main revenue amount is </w:t>
      </w:r>
      <w:r w:rsidR="00F740FC">
        <w:rPr>
          <w:bCs/>
          <w:lang w:val="en-CA"/>
        </w:rPr>
        <w:t xml:space="preserve">Amortization of Deferred Capital Revenue </w:t>
      </w:r>
      <w:r w:rsidR="00B91813">
        <w:rPr>
          <w:bCs/>
          <w:lang w:val="en-CA"/>
        </w:rPr>
        <w:t>at</w:t>
      </w:r>
      <w:r w:rsidR="00F740FC">
        <w:rPr>
          <w:bCs/>
          <w:lang w:val="en-CA"/>
        </w:rPr>
        <w:t xml:space="preserve"> </w:t>
      </w:r>
      <w:r w:rsidR="00662D18">
        <w:rPr>
          <w:bCs/>
          <w:lang w:val="en-CA"/>
        </w:rPr>
        <w:t>4.</w:t>
      </w:r>
      <w:r w:rsidR="0067156C">
        <w:rPr>
          <w:bCs/>
          <w:lang w:val="en-CA"/>
        </w:rPr>
        <w:t>77</w:t>
      </w:r>
      <w:r w:rsidR="00EB0783">
        <w:rPr>
          <w:bCs/>
          <w:lang w:val="en-CA"/>
        </w:rPr>
        <w:t>%</w:t>
      </w:r>
      <w:r w:rsidR="00B91813">
        <w:rPr>
          <w:bCs/>
          <w:lang w:val="en-CA"/>
        </w:rPr>
        <w:t>.  I</w:t>
      </w:r>
      <w:r w:rsidR="00EB0783">
        <w:rPr>
          <w:bCs/>
          <w:lang w:val="en-CA"/>
        </w:rPr>
        <w:t xml:space="preserve">t must be stated that this is not “real” money and is </w:t>
      </w:r>
      <w:r w:rsidR="00B91813">
        <w:rPr>
          <w:bCs/>
          <w:lang w:val="en-CA"/>
        </w:rPr>
        <w:t xml:space="preserve">simply </w:t>
      </w:r>
      <w:r w:rsidR="00EB0783">
        <w:rPr>
          <w:bCs/>
          <w:lang w:val="en-CA"/>
        </w:rPr>
        <w:t>an accounting function that recognizes costs with the active life of an asset.  Assets in this case are buildings; furniture and equipment; vehicles; and computer hardware and software</w:t>
      </w:r>
      <w:r w:rsidR="00B91813">
        <w:rPr>
          <w:bCs/>
          <w:lang w:val="en-CA"/>
        </w:rPr>
        <w:t xml:space="preserve"> as discussed in the capital fund descriptor above.</w:t>
      </w:r>
    </w:p>
    <w:p w14:paraId="1A7123F8" w14:textId="77777777" w:rsidR="00C87699" w:rsidRDefault="00C87699" w:rsidP="00C705B3">
      <w:pPr>
        <w:rPr>
          <w:bCs/>
          <w:lang w:val="en-CA"/>
        </w:rPr>
      </w:pPr>
    </w:p>
    <w:p w14:paraId="5DD0C069" w14:textId="77777777" w:rsidR="00376407" w:rsidRDefault="00376407" w:rsidP="00C705B3">
      <w:pPr>
        <w:rPr>
          <w:bCs/>
          <w:lang w:val="en-CA"/>
        </w:rPr>
      </w:pPr>
    </w:p>
    <w:p w14:paraId="49AE4930" w14:textId="77777777" w:rsidR="002F3216" w:rsidRDefault="002F3216" w:rsidP="00C705B3">
      <w:pPr>
        <w:rPr>
          <w:rStyle w:val="Heading3Char"/>
          <w:b/>
          <w:bCs/>
          <w:color w:val="E36C0A" w:themeColor="accent6" w:themeShade="BF"/>
          <w:sz w:val="24"/>
          <w:szCs w:val="24"/>
        </w:rPr>
      </w:pPr>
      <w:bookmarkStart w:id="17" w:name="_Toc51594534"/>
    </w:p>
    <w:p w14:paraId="12C68C76" w14:textId="77777777" w:rsidR="002F3216" w:rsidRPr="0050526E" w:rsidRDefault="002F3216" w:rsidP="002F3216">
      <w:pPr>
        <w:pStyle w:val="Heading2"/>
        <w:jc w:val="left"/>
        <w:rPr>
          <w:b/>
          <w:bCs/>
          <w:sz w:val="24"/>
          <w:szCs w:val="24"/>
          <w:lang w:val="en-CA"/>
        </w:rPr>
      </w:pPr>
      <w:r w:rsidRPr="0050526E">
        <w:rPr>
          <w:b/>
          <w:bCs/>
          <w:sz w:val="24"/>
          <w:szCs w:val="24"/>
          <w:lang w:val="en-CA"/>
        </w:rPr>
        <w:lastRenderedPageBreak/>
        <w:t>FIVE YEAR TREND – STATEMENT OF OPERATIONS (Statement 2 – All Funds)</w:t>
      </w:r>
    </w:p>
    <w:p w14:paraId="408A9526" w14:textId="77777777" w:rsidR="002F3216" w:rsidRDefault="002F3216" w:rsidP="00C705B3">
      <w:pPr>
        <w:rPr>
          <w:rStyle w:val="Heading3Char"/>
          <w:b/>
          <w:bCs/>
          <w:color w:val="E36C0A" w:themeColor="accent6" w:themeShade="BF"/>
          <w:sz w:val="24"/>
          <w:szCs w:val="24"/>
        </w:rPr>
      </w:pPr>
    </w:p>
    <w:p w14:paraId="07814ACC" w14:textId="77777777" w:rsidR="001A28FE" w:rsidRDefault="00C87699" w:rsidP="00C705B3">
      <w:pPr>
        <w:rPr>
          <w:bCs/>
          <w:lang w:val="en-CA"/>
        </w:rPr>
      </w:pPr>
      <w:r w:rsidRPr="00616892">
        <w:rPr>
          <w:rStyle w:val="Heading3Char"/>
          <w:b/>
          <w:bCs/>
          <w:color w:val="E36C0A" w:themeColor="accent6" w:themeShade="BF"/>
          <w:sz w:val="24"/>
          <w:szCs w:val="24"/>
        </w:rPr>
        <w:t>E</w:t>
      </w:r>
      <w:r w:rsidR="0094397A" w:rsidRPr="00616892">
        <w:rPr>
          <w:rStyle w:val="Heading3Char"/>
          <w:b/>
          <w:bCs/>
          <w:color w:val="E36C0A" w:themeColor="accent6" w:themeShade="BF"/>
          <w:sz w:val="24"/>
          <w:szCs w:val="24"/>
        </w:rPr>
        <w:t>xpenses</w:t>
      </w:r>
      <w:bookmarkEnd w:id="17"/>
      <w:r w:rsidR="0094397A" w:rsidRPr="00616892">
        <w:rPr>
          <w:b/>
          <w:bCs/>
          <w:color w:val="E36C0A" w:themeColor="accent6" w:themeShade="BF"/>
          <w:lang w:val="en-CA"/>
        </w:rPr>
        <w:t xml:space="preserve"> </w:t>
      </w:r>
      <w:r w:rsidR="0094397A">
        <w:rPr>
          <w:bCs/>
          <w:lang w:val="en-CA"/>
        </w:rPr>
        <w:t>are t</w:t>
      </w:r>
      <w:r w:rsidR="00B91813">
        <w:rPr>
          <w:bCs/>
          <w:lang w:val="en-CA"/>
        </w:rPr>
        <w:t>he second trend to examine on Statement 2.  As you can see spending has been fairly consistent over the 4 main expense areas (departments)</w:t>
      </w:r>
      <w:r w:rsidR="008D32B7">
        <w:rPr>
          <w:bCs/>
          <w:lang w:val="en-CA"/>
        </w:rPr>
        <w:t>.  This year’s</w:t>
      </w:r>
      <w:r w:rsidR="00662D18">
        <w:rPr>
          <w:bCs/>
          <w:lang w:val="en-CA"/>
        </w:rPr>
        <w:t xml:space="preserve"> </w:t>
      </w:r>
      <w:r w:rsidR="0067156C">
        <w:rPr>
          <w:bCs/>
          <w:lang w:val="en-CA"/>
        </w:rPr>
        <w:t>50.9</w:t>
      </w:r>
      <w:r w:rsidR="00B91813">
        <w:rPr>
          <w:bCs/>
          <w:lang w:val="en-CA"/>
        </w:rPr>
        <w:t>% on Instruction</w:t>
      </w:r>
      <w:r w:rsidR="008D32B7">
        <w:rPr>
          <w:bCs/>
          <w:lang w:val="en-CA"/>
        </w:rPr>
        <w:t xml:space="preserve"> has </w:t>
      </w:r>
      <w:r w:rsidR="0067156C">
        <w:rPr>
          <w:bCs/>
          <w:lang w:val="en-CA"/>
        </w:rPr>
        <w:t xml:space="preserve">been dropping over the past 4 years, this is indicative of the challenges that the district faces recruiting and retaining </w:t>
      </w:r>
      <w:r w:rsidR="008D32B7">
        <w:rPr>
          <w:bCs/>
          <w:lang w:val="en-CA"/>
        </w:rPr>
        <w:t>teaching staff</w:t>
      </w:r>
      <w:r w:rsidR="0067156C">
        <w:rPr>
          <w:bCs/>
          <w:lang w:val="en-CA"/>
        </w:rPr>
        <w:t xml:space="preserve">, </w:t>
      </w:r>
      <w:r w:rsidR="001A28FE">
        <w:rPr>
          <w:bCs/>
          <w:lang w:val="en-CA"/>
        </w:rPr>
        <w:t>it</w:t>
      </w:r>
      <w:r w:rsidR="0067156C">
        <w:rPr>
          <w:bCs/>
          <w:lang w:val="en-CA"/>
        </w:rPr>
        <w:t xml:space="preserve"> is further accentuated by the much larger portion this year in Transportation and Housing</w:t>
      </w:r>
      <w:r w:rsidR="008D32B7">
        <w:rPr>
          <w:bCs/>
          <w:lang w:val="en-CA"/>
        </w:rPr>
        <w:t xml:space="preserve">.  </w:t>
      </w:r>
      <w:r w:rsidR="00662D18">
        <w:rPr>
          <w:bCs/>
          <w:lang w:val="en-CA"/>
        </w:rPr>
        <w:t>14.8</w:t>
      </w:r>
      <w:r w:rsidR="00B91813">
        <w:rPr>
          <w:bCs/>
          <w:lang w:val="en-CA"/>
        </w:rPr>
        <w:t>% on Administration</w:t>
      </w:r>
      <w:r w:rsidR="008D32B7">
        <w:rPr>
          <w:bCs/>
          <w:lang w:val="en-CA"/>
        </w:rPr>
        <w:t xml:space="preserve"> and </w:t>
      </w:r>
      <w:r w:rsidR="0067156C">
        <w:rPr>
          <w:bCs/>
          <w:lang w:val="en-CA"/>
        </w:rPr>
        <w:t>22.4</w:t>
      </w:r>
      <w:r w:rsidR="00B91813">
        <w:rPr>
          <w:bCs/>
          <w:lang w:val="en-CA"/>
        </w:rPr>
        <w:t xml:space="preserve">% on Operations and Maintenance </w:t>
      </w:r>
      <w:r w:rsidR="008D32B7">
        <w:rPr>
          <w:bCs/>
          <w:lang w:val="en-CA"/>
        </w:rPr>
        <w:t xml:space="preserve">are consistent over the past 5 years.  </w:t>
      </w:r>
      <w:r w:rsidR="00B91813">
        <w:rPr>
          <w:bCs/>
          <w:lang w:val="en-CA"/>
        </w:rPr>
        <w:t>Transportation and Housing</w:t>
      </w:r>
      <w:r w:rsidR="008D32B7">
        <w:rPr>
          <w:bCs/>
          <w:lang w:val="en-CA"/>
        </w:rPr>
        <w:t xml:space="preserve"> </w:t>
      </w:r>
      <w:r w:rsidR="001A28FE">
        <w:rPr>
          <w:bCs/>
          <w:lang w:val="en-CA"/>
        </w:rPr>
        <w:t>increased this year from</w:t>
      </w:r>
      <w:r w:rsidR="008D32B7">
        <w:rPr>
          <w:bCs/>
          <w:lang w:val="en-CA"/>
        </w:rPr>
        <w:t xml:space="preserve"> 7</w:t>
      </w:r>
      <w:r w:rsidR="00662D18">
        <w:rPr>
          <w:bCs/>
          <w:lang w:val="en-CA"/>
        </w:rPr>
        <w:t>.2</w:t>
      </w:r>
      <w:r w:rsidR="008D32B7">
        <w:rPr>
          <w:bCs/>
          <w:lang w:val="en-CA"/>
        </w:rPr>
        <w:t xml:space="preserve">% </w:t>
      </w:r>
      <w:r w:rsidR="001A28FE">
        <w:rPr>
          <w:bCs/>
          <w:lang w:val="en-CA"/>
        </w:rPr>
        <w:t xml:space="preserve"> to 11.9%  these increased </w:t>
      </w:r>
      <w:r w:rsidR="008D32B7">
        <w:rPr>
          <w:bCs/>
          <w:lang w:val="en-CA"/>
        </w:rPr>
        <w:t xml:space="preserve">expenses </w:t>
      </w:r>
      <w:r w:rsidR="001A28FE">
        <w:rPr>
          <w:bCs/>
          <w:lang w:val="en-CA"/>
        </w:rPr>
        <w:t xml:space="preserve">are </w:t>
      </w:r>
      <w:r w:rsidR="008D32B7">
        <w:rPr>
          <w:bCs/>
          <w:lang w:val="en-CA"/>
        </w:rPr>
        <w:t>due to the district</w:t>
      </w:r>
      <w:r w:rsidR="00E42152">
        <w:rPr>
          <w:bCs/>
          <w:lang w:val="en-CA"/>
        </w:rPr>
        <w:t xml:space="preserve">s commitment to repairing and upgrading their housing facilities.  </w:t>
      </w:r>
    </w:p>
    <w:p w14:paraId="09AF3819" w14:textId="21786A9B" w:rsidR="00B91813" w:rsidRDefault="001A28FE" w:rsidP="00C705B3">
      <w:pPr>
        <w:rPr>
          <w:bCs/>
          <w:lang w:val="en-CA"/>
        </w:rPr>
      </w:pPr>
      <w:r>
        <w:rPr>
          <w:bCs/>
          <w:lang w:val="en-CA"/>
        </w:rPr>
        <w:t xml:space="preserve">Overall, </w:t>
      </w:r>
      <w:r w:rsidR="00DD7792">
        <w:rPr>
          <w:bCs/>
          <w:lang w:val="en-CA"/>
        </w:rPr>
        <w:t>Costs have fluctuated at essentially the same rate as increases in revenues, which is consistent when revenues are received in this grant format.</w:t>
      </w:r>
    </w:p>
    <w:p w14:paraId="2C5690C4" w14:textId="3449896B" w:rsidR="00242EAF" w:rsidRDefault="0067156C" w:rsidP="00C705B3">
      <w:pPr>
        <w:rPr>
          <w:bCs/>
          <w:lang w:val="en-CA"/>
        </w:rPr>
      </w:pPr>
      <w:r>
        <w:rPr>
          <w:bCs/>
          <w:noProof/>
          <w:lang w:val="en-CA"/>
        </w:rPr>
        <w:drawing>
          <wp:inline distT="0" distB="0" distL="0" distR="0" wp14:anchorId="09CD8137" wp14:editId="172DFB24">
            <wp:extent cx="6302375" cy="2912081"/>
            <wp:effectExtent l="0" t="0" r="3175" b="3175"/>
            <wp:docPr id="11293514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2836" cy="2926156"/>
                    </a:xfrm>
                    <a:prstGeom prst="rect">
                      <a:avLst/>
                    </a:prstGeom>
                    <a:noFill/>
                  </pic:spPr>
                </pic:pic>
              </a:graphicData>
            </a:graphic>
          </wp:inline>
        </w:drawing>
      </w:r>
    </w:p>
    <w:p w14:paraId="79FEB72B" w14:textId="34EBC8BD" w:rsidR="00D95C4E" w:rsidRDefault="00D95C4E" w:rsidP="00C705B3">
      <w:pPr>
        <w:rPr>
          <w:bCs/>
          <w:lang w:val="en-CA"/>
        </w:rPr>
      </w:pPr>
    </w:p>
    <w:p w14:paraId="5808444A" w14:textId="51A30F2A" w:rsidR="00D95C4E" w:rsidRDefault="00D95C4E" w:rsidP="00C705B3">
      <w:pPr>
        <w:rPr>
          <w:bCs/>
          <w:lang w:val="en-CA"/>
        </w:rPr>
      </w:pPr>
    </w:p>
    <w:p w14:paraId="0A655129" w14:textId="7187BFCD" w:rsidR="00DD7792" w:rsidRDefault="00DD7792" w:rsidP="00C705B3">
      <w:pPr>
        <w:rPr>
          <w:bCs/>
          <w:lang w:val="en-CA"/>
        </w:rPr>
      </w:pPr>
    </w:p>
    <w:p w14:paraId="228DFCFD" w14:textId="7D905DDA" w:rsidR="00DD7792" w:rsidRDefault="00DD7792" w:rsidP="00C705B3">
      <w:pPr>
        <w:rPr>
          <w:bCs/>
          <w:lang w:val="en-CA"/>
        </w:rPr>
      </w:pPr>
      <w:bookmarkStart w:id="18" w:name="_Toc51594535"/>
      <w:r w:rsidRPr="00E42152">
        <w:rPr>
          <w:rStyle w:val="Heading3Char"/>
          <w:b/>
          <w:bCs/>
          <w:color w:val="E36C0A" w:themeColor="accent6" w:themeShade="BF"/>
          <w:sz w:val="24"/>
          <w:szCs w:val="24"/>
        </w:rPr>
        <w:t>Accumulated surplus</w:t>
      </w:r>
      <w:bookmarkEnd w:id="18"/>
      <w:r w:rsidR="0094397A" w:rsidRPr="00E42152">
        <w:rPr>
          <w:bCs/>
          <w:color w:val="E36C0A" w:themeColor="accent6" w:themeShade="BF"/>
          <w:lang w:val="en-CA"/>
        </w:rPr>
        <w:t xml:space="preserve"> </w:t>
      </w:r>
      <w:r w:rsidR="0094397A">
        <w:rPr>
          <w:bCs/>
          <w:lang w:val="en-CA"/>
        </w:rPr>
        <w:t>is the third item to examine on Statement 2, it</w:t>
      </w:r>
      <w:r>
        <w:rPr>
          <w:bCs/>
          <w:lang w:val="en-CA"/>
        </w:rPr>
        <w:t xml:space="preserve"> is made up from all three funds.  Capital funds are not “real money” as discussed above this is the difference between amortization recognition of revenue and costs over the useful life of assets plus local capital funds which are earmarked and should only be used on future capital projects</w:t>
      </w:r>
      <w:r w:rsidR="006F61E5">
        <w:rPr>
          <w:bCs/>
          <w:lang w:val="en-CA"/>
        </w:rPr>
        <w:t>.  This leaves the operating surplus of $</w:t>
      </w:r>
      <w:r w:rsidR="001A28FE">
        <w:rPr>
          <w:bCs/>
          <w:lang w:val="en-CA"/>
        </w:rPr>
        <w:t>3.13</w:t>
      </w:r>
      <w:r w:rsidR="00A808D0">
        <w:rPr>
          <w:bCs/>
          <w:lang w:val="en-CA"/>
        </w:rPr>
        <w:t>M</w:t>
      </w:r>
      <w:r w:rsidR="006F61E5">
        <w:rPr>
          <w:bCs/>
          <w:lang w:val="en-CA"/>
        </w:rPr>
        <w:t>, this amount can be used for many purposes but must be approved by the Board</w:t>
      </w:r>
      <w:r w:rsidR="00BC5922">
        <w:rPr>
          <w:bCs/>
          <w:lang w:val="en-CA"/>
        </w:rPr>
        <w:t>.  This will be discussed further under t</w:t>
      </w:r>
      <w:r w:rsidR="002F2DE1">
        <w:rPr>
          <w:bCs/>
          <w:lang w:val="en-CA"/>
        </w:rPr>
        <w:t>h</w:t>
      </w:r>
      <w:r w:rsidR="00BC5922">
        <w:rPr>
          <w:bCs/>
          <w:lang w:val="en-CA"/>
        </w:rPr>
        <w:t>e Operating Fund Analysis section.</w:t>
      </w:r>
    </w:p>
    <w:p w14:paraId="572F0050" w14:textId="412BEA4F" w:rsidR="002F3216" w:rsidRDefault="002F3216" w:rsidP="00C705B3">
      <w:pPr>
        <w:rPr>
          <w:bCs/>
          <w:lang w:val="en-CA"/>
        </w:rPr>
      </w:pPr>
    </w:p>
    <w:p w14:paraId="4CC8AC18" w14:textId="497EF4ED" w:rsidR="002F3216" w:rsidRDefault="002F3216" w:rsidP="00C705B3">
      <w:pPr>
        <w:rPr>
          <w:bCs/>
          <w:lang w:val="en-CA"/>
        </w:rPr>
      </w:pPr>
    </w:p>
    <w:p w14:paraId="25AF96DC" w14:textId="5C3B3DA0" w:rsidR="002F3216" w:rsidRDefault="002F3216" w:rsidP="002F3216">
      <w:pPr>
        <w:pStyle w:val="Heading2"/>
        <w:jc w:val="left"/>
        <w:rPr>
          <w:b/>
          <w:bCs/>
          <w:sz w:val="24"/>
          <w:szCs w:val="24"/>
          <w:lang w:val="en-CA"/>
        </w:rPr>
      </w:pPr>
      <w:r w:rsidRPr="0050526E">
        <w:rPr>
          <w:b/>
          <w:bCs/>
          <w:sz w:val="24"/>
          <w:szCs w:val="24"/>
          <w:lang w:val="en-CA"/>
        </w:rPr>
        <w:lastRenderedPageBreak/>
        <w:t>FIVE YEAR TREND – STATEMENT OF OPERATIONS (Statement 2 – All Funds)</w:t>
      </w:r>
    </w:p>
    <w:p w14:paraId="4E4634E1" w14:textId="77777777" w:rsidR="001A28FE" w:rsidRPr="001A28FE" w:rsidRDefault="001A28FE" w:rsidP="001A28FE">
      <w:pPr>
        <w:rPr>
          <w:lang w:val="en-CA"/>
        </w:rPr>
      </w:pPr>
    </w:p>
    <w:p w14:paraId="08D1BA95" w14:textId="5D7BE2D0" w:rsidR="00662D18" w:rsidRDefault="001A28FE" w:rsidP="00C705B3">
      <w:pPr>
        <w:rPr>
          <w:bCs/>
          <w:lang w:val="en-CA"/>
        </w:rPr>
      </w:pPr>
      <w:r>
        <w:rPr>
          <w:bCs/>
          <w:noProof/>
          <w:lang w:val="en-CA"/>
        </w:rPr>
        <w:drawing>
          <wp:inline distT="0" distB="0" distL="0" distR="0" wp14:anchorId="6A4286F6" wp14:editId="5F800A7C">
            <wp:extent cx="5743575" cy="3354477"/>
            <wp:effectExtent l="0" t="0" r="0" b="0"/>
            <wp:docPr id="10224305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8211" cy="3357184"/>
                    </a:xfrm>
                    <a:prstGeom prst="rect">
                      <a:avLst/>
                    </a:prstGeom>
                    <a:noFill/>
                  </pic:spPr>
                </pic:pic>
              </a:graphicData>
            </a:graphic>
          </wp:inline>
        </w:drawing>
      </w:r>
    </w:p>
    <w:p w14:paraId="26870AA1" w14:textId="4660DF46" w:rsidR="002F3216" w:rsidRDefault="002F3216" w:rsidP="00C705B3">
      <w:pPr>
        <w:rPr>
          <w:bCs/>
          <w:lang w:val="en-CA"/>
        </w:rPr>
      </w:pPr>
    </w:p>
    <w:p w14:paraId="28136424" w14:textId="77777777" w:rsidR="00BA6823" w:rsidRDefault="00BA6823" w:rsidP="00C705B3">
      <w:pPr>
        <w:rPr>
          <w:bCs/>
          <w:lang w:val="en-CA"/>
        </w:rPr>
      </w:pPr>
    </w:p>
    <w:p w14:paraId="0934BD01" w14:textId="77777777" w:rsidR="00BA6823" w:rsidRDefault="00BA6823" w:rsidP="00C705B3">
      <w:pPr>
        <w:rPr>
          <w:bCs/>
          <w:lang w:val="en-CA"/>
        </w:rPr>
      </w:pPr>
    </w:p>
    <w:p w14:paraId="5806854D" w14:textId="77777777" w:rsidR="00BA6823" w:rsidRDefault="00BA6823" w:rsidP="00C705B3">
      <w:pPr>
        <w:rPr>
          <w:bCs/>
          <w:lang w:val="en-CA"/>
        </w:rPr>
      </w:pPr>
    </w:p>
    <w:p w14:paraId="50731AE3" w14:textId="77777777" w:rsidR="00BA6823" w:rsidRDefault="00BA6823" w:rsidP="00C705B3">
      <w:pPr>
        <w:rPr>
          <w:bCs/>
          <w:lang w:val="en-CA"/>
        </w:rPr>
      </w:pPr>
    </w:p>
    <w:p w14:paraId="1CBA7972" w14:textId="77777777" w:rsidR="00BA6823" w:rsidRDefault="00BA6823" w:rsidP="00C705B3">
      <w:pPr>
        <w:rPr>
          <w:bCs/>
          <w:lang w:val="en-CA"/>
        </w:rPr>
      </w:pPr>
    </w:p>
    <w:p w14:paraId="10DC061F" w14:textId="77777777" w:rsidR="00BA6823" w:rsidRDefault="00BA6823" w:rsidP="00C705B3">
      <w:pPr>
        <w:rPr>
          <w:bCs/>
          <w:lang w:val="en-CA"/>
        </w:rPr>
      </w:pPr>
    </w:p>
    <w:p w14:paraId="1C1B460E" w14:textId="77777777" w:rsidR="00BA6823" w:rsidRDefault="00BA6823" w:rsidP="00C705B3">
      <w:pPr>
        <w:rPr>
          <w:bCs/>
          <w:lang w:val="en-CA"/>
        </w:rPr>
      </w:pPr>
    </w:p>
    <w:p w14:paraId="47A73820" w14:textId="77777777" w:rsidR="00BA6823" w:rsidRDefault="00BA6823" w:rsidP="00C705B3">
      <w:pPr>
        <w:rPr>
          <w:bCs/>
          <w:lang w:val="en-CA"/>
        </w:rPr>
      </w:pPr>
    </w:p>
    <w:p w14:paraId="70D911A2" w14:textId="77777777" w:rsidR="00BA6823" w:rsidRDefault="00BA6823" w:rsidP="00C705B3">
      <w:pPr>
        <w:rPr>
          <w:bCs/>
          <w:lang w:val="en-CA"/>
        </w:rPr>
      </w:pPr>
    </w:p>
    <w:p w14:paraId="145BFC97" w14:textId="77777777" w:rsidR="00BA6823" w:rsidRDefault="00BA6823" w:rsidP="00C705B3">
      <w:pPr>
        <w:rPr>
          <w:bCs/>
          <w:lang w:val="en-CA"/>
        </w:rPr>
      </w:pPr>
    </w:p>
    <w:p w14:paraId="088BB44C" w14:textId="77777777" w:rsidR="00BA6823" w:rsidRDefault="00BA6823" w:rsidP="00C705B3">
      <w:pPr>
        <w:rPr>
          <w:bCs/>
          <w:lang w:val="en-CA"/>
        </w:rPr>
      </w:pPr>
    </w:p>
    <w:p w14:paraId="1090D2E1" w14:textId="77777777" w:rsidR="00BA6823" w:rsidRDefault="00BA6823" w:rsidP="00C705B3">
      <w:pPr>
        <w:rPr>
          <w:bCs/>
          <w:lang w:val="en-CA"/>
        </w:rPr>
      </w:pPr>
    </w:p>
    <w:p w14:paraId="63630CD7" w14:textId="77777777" w:rsidR="00BA6823" w:rsidRDefault="00BA6823" w:rsidP="00C705B3">
      <w:pPr>
        <w:rPr>
          <w:bCs/>
          <w:lang w:val="en-CA"/>
        </w:rPr>
      </w:pPr>
    </w:p>
    <w:p w14:paraId="74F42997" w14:textId="566E8F3B" w:rsidR="007824F1" w:rsidRDefault="009B0D8C" w:rsidP="002F3216">
      <w:pPr>
        <w:pStyle w:val="Heading1"/>
        <w:jc w:val="left"/>
        <w:rPr>
          <w:lang w:val="en-CA"/>
        </w:rPr>
      </w:pPr>
      <w:bookmarkStart w:id="19" w:name="_Toc51594536"/>
      <w:r w:rsidRPr="0094397A">
        <w:rPr>
          <w:sz w:val="32"/>
          <w:szCs w:val="32"/>
          <w:lang w:val="en-CA"/>
        </w:rPr>
        <w:lastRenderedPageBreak/>
        <w:t>OPERATING FUND ANALYSIS</w:t>
      </w:r>
      <w:r w:rsidR="00C601A4" w:rsidRPr="0094397A">
        <w:rPr>
          <w:sz w:val="32"/>
          <w:szCs w:val="32"/>
          <w:lang w:val="en-CA"/>
        </w:rPr>
        <w:t xml:space="preserve"> (</w:t>
      </w:r>
      <w:r w:rsidR="001E16DA" w:rsidRPr="0094397A">
        <w:rPr>
          <w:sz w:val="32"/>
          <w:szCs w:val="32"/>
          <w:lang w:val="en-CA"/>
        </w:rPr>
        <w:t>Schedule 2 to 2C)</w:t>
      </w:r>
      <w:bookmarkEnd w:id="19"/>
    </w:p>
    <w:p w14:paraId="698E828B" w14:textId="77777777" w:rsidR="00662D18" w:rsidRDefault="00662D18">
      <w:pPr>
        <w:rPr>
          <w:lang w:val="en-CA"/>
        </w:rPr>
      </w:pPr>
    </w:p>
    <w:p w14:paraId="6498F904" w14:textId="480AF399" w:rsidR="008006C9" w:rsidRDefault="001E16DA">
      <w:pPr>
        <w:rPr>
          <w:lang w:val="en-CA"/>
        </w:rPr>
      </w:pPr>
      <w:r w:rsidRPr="001E16DA">
        <w:rPr>
          <w:lang w:val="en-CA"/>
        </w:rPr>
        <w:t xml:space="preserve">A balanced </w:t>
      </w:r>
      <w:r w:rsidR="00BC5922">
        <w:rPr>
          <w:lang w:val="en-CA"/>
        </w:rPr>
        <w:t>Amended Annual b</w:t>
      </w:r>
      <w:r w:rsidRPr="001E16DA">
        <w:rPr>
          <w:lang w:val="en-CA"/>
        </w:rPr>
        <w:t xml:space="preserve">udget was </w:t>
      </w:r>
      <w:r w:rsidR="00662D18">
        <w:rPr>
          <w:lang w:val="en-CA"/>
        </w:rPr>
        <w:t>passed on February 1</w:t>
      </w:r>
      <w:r w:rsidR="001A28FE">
        <w:rPr>
          <w:lang w:val="en-CA"/>
        </w:rPr>
        <w:t>3, 2024</w:t>
      </w:r>
      <w:r w:rsidR="00662D18">
        <w:rPr>
          <w:lang w:val="en-CA"/>
        </w:rPr>
        <w:t xml:space="preserve"> and is included</w:t>
      </w:r>
      <w:r w:rsidR="00BC5922">
        <w:rPr>
          <w:lang w:val="en-CA"/>
        </w:rPr>
        <w:t xml:space="preserve"> in the Financial Statements.</w:t>
      </w:r>
    </w:p>
    <w:p w14:paraId="5B95FE9F" w14:textId="103CDBED" w:rsidR="001E16DA" w:rsidRDefault="001E16DA">
      <w:pPr>
        <w:rPr>
          <w:lang w:val="en-CA"/>
        </w:rPr>
      </w:pPr>
      <w:r w:rsidRPr="008C1912">
        <w:rPr>
          <w:rFonts w:cstheme="minorHAnsi"/>
          <w:b/>
          <w:bCs/>
          <w:color w:val="E36C0A" w:themeColor="accent6" w:themeShade="BF"/>
          <w:sz w:val="24"/>
          <w:szCs w:val="24"/>
          <w:lang w:val="en-CA"/>
        </w:rPr>
        <w:t>Total operating revenue</w:t>
      </w:r>
      <w:r w:rsidRPr="00631880">
        <w:rPr>
          <w:color w:val="E36C0A" w:themeColor="accent6" w:themeShade="BF"/>
          <w:lang w:val="en-CA"/>
        </w:rPr>
        <w:t xml:space="preserve"> </w:t>
      </w:r>
      <w:r w:rsidRPr="001E16DA">
        <w:rPr>
          <w:lang w:val="en-CA"/>
        </w:rPr>
        <w:t>received from all sources was $</w:t>
      </w:r>
      <w:bookmarkStart w:id="20" w:name="_Hlk49594640"/>
      <w:r w:rsidR="00662D18">
        <w:rPr>
          <w:lang w:val="en-CA"/>
        </w:rPr>
        <w:t>10,</w:t>
      </w:r>
      <w:r w:rsidR="001A28FE">
        <w:rPr>
          <w:lang w:val="en-CA"/>
        </w:rPr>
        <w:t>10,348,028</w:t>
      </w:r>
      <w:r w:rsidR="00BD2478">
        <w:rPr>
          <w:lang w:val="en-CA"/>
        </w:rPr>
        <w:t xml:space="preserve"> </w:t>
      </w:r>
      <w:bookmarkEnd w:id="20"/>
      <w:r w:rsidRPr="001E16DA">
        <w:rPr>
          <w:lang w:val="en-CA"/>
        </w:rPr>
        <w:t>($</w:t>
      </w:r>
      <w:r w:rsidR="001A28FE">
        <w:rPr>
          <w:lang w:val="en-CA"/>
        </w:rPr>
        <w:t>10,559,917</w:t>
      </w:r>
      <w:r w:rsidR="005437D4">
        <w:rPr>
          <w:lang w:val="en-CA"/>
        </w:rPr>
        <w:t xml:space="preserve"> </w:t>
      </w:r>
      <w:r w:rsidRPr="001E16DA">
        <w:rPr>
          <w:lang w:val="en-CA"/>
        </w:rPr>
        <w:t xml:space="preserve">in </w:t>
      </w:r>
      <w:r w:rsidR="001A28FE">
        <w:rPr>
          <w:lang w:val="en-CA"/>
        </w:rPr>
        <w:t>2022-23</w:t>
      </w:r>
      <w:r w:rsidRPr="001E16DA">
        <w:rPr>
          <w:lang w:val="en-CA"/>
        </w:rPr>
        <w:t>)</w:t>
      </w:r>
      <w:r>
        <w:rPr>
          <w:lang w:val="en-CA"/>
        </w:rPr>
        <w:t xml:space="preserve">. </w:t>
      </w:r>
      <w:r w:rsidR="000D13DB">
        <w:rPr>
          <w:lang w:val="en-CA"/>
        </w:rPr>
        <w:t xml:space="preserve">This funding is in line with previous year including </w:t>
      </w:r>
      <w:r w:rsidR="007824F1">
        <w:rPr>
          <w:lang w:val="en-CA"/>
        </w:rPr>
        <w:t>increased funding from Nisga’a Lisims Government based on an increase in general per student funding.</w:t>
      </w:r>
    </w:p>
    <w:p w14:paraId="08525E4D" w14:textId="1D481750" w:rsidR="009B0D8C" w:rsidRDefault="00BA6823">
      <w:pPr>
        <w:rPr>
          <w:lang w:val="en-CA"/>
        </w:rPr>
      </w:pPr>
      <w:r>
        <w:rPr>
          <w:noProof/>
          <w:lang w:val="en-CA"/>
        </w:rPr>
        <w:drawing>
          <wp:inline distT="0" distB="0" distL="0" distR="0" wp14:anchorId="7D7B9923" wp14:editId="1EBFBB3E">
            <wp:extent cx="5810250" cy="2791256"/>
            <wp:effectExtent l="0" t="0" r="0" b="9525"/>
            <wp:docPr id="9629474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7739" cy="2809266"/>
                    </a:xfrm>
                    <a:prstGeom prst="rect">
                      <a:avLst/>
                    </a:prstGeom>
                    <a:noFill/>
                  </pic:spPr>
                </pic:pic>
              </a:graphicData>
            </a:graphic>
          </wp:inline>
        </w:drawing>
      </w:r>
    </w:p>
    <w:p w14:paraId="2455F061" w14:textId="0C11FD71" w:rsidR="008006C9" w:rsidRDefault="008006C9">
      <w:pPr>
        <w:rPr>
          <w:lang w:val="en-CA"/>
        </w:rPr>
      </w:pPr>
      <w:r w:rsidRPr="008C1912">
        <w:rPr>
          <w:b/>
          <w:bCs/>
          <w:color w:val="E36C0A" w:themeColor="accent6" w:themeShade="BF"/>
          <w:sz w:val="24"/>
          <w:szCs w:val="24"/>
          <w:lang w:val="en-CA"/>
        </w:rPr>
        <w:t>Total operating expenses</w:t>
      </w:r>
      <w:r w:rsidRPr="00631880">
        <w:rPr>
          <w:color w:val="E36C0A" w:themeColor="accent6" w:themeShade="BF"/>
          <w:lang w:val="en-CA"/>
        </w:rPr>
        <w:t xml:space="preserve"> </w:t>
      </w:r>
      <w:r>
        <w:rPr>
          <w:lang w:val="en-CA"/>
        </w:rPr>
        <w:t>were $</w:t>
      </w:r>
      <w:bookmarkStart w:id="21" w:name="_Hlk49594594"/>
      <w:r w:rsidR="00BA6823">
        <w:rPr>
          <w:lang w:val="en-CA"/>
        </w:rPr>
        <w:t>9,648,739</w:t>
      </w:r>
      <w:r>
        <w:rPr>
          <w:lang w:val="en-CA"/>
        </w:rPr>
        <w:t xml:space="preserve"> </w:t>
      </w:r>
      <w:bookmarkEnd w:id="21"/>
      <w:r>
        <w:rPr>
          <w:lang w:val="en-CA"/>
        </w:rPr>
        <w:t>($</w:t>
      </w:r>
      <w:r w:rsidR="00BA6823">
        <w:rPr>
          <w:lang w:val="en-CA"/>
        </w:rPr>
        <w:t>8,364,506</w:t>
      </w:r>
      <w:r w:rsidR="000D13DB">
        <w:rPr>
          <w:lang w:val="en-CA"/>
        </w:rPr>
        <w:t xml:space="preserve"> in </w:t>
      </w:r>
      <w:r w:rsidR="002F3216">
        <w:rPr>
          <w:lang w:val="en-CA"/>
        </w:rPr>
        <w:t>202</w:t>
      </w:r>
      <w:r w:rsidR="00BA6823">
        <w:rPr>
          <w:lang w:val="en-CA"/>
        </w:rPr>
        <w:t>2-23</w:t>
      </w:r>
      <w:r>
        <w:rPr>
          <w:lang w:val="en-CA"/>
        </w:rPr>
        <w:t>).</w:t>
      </w:r>
      <w:r w:rsidR="00E41852">
        <w:rPr>
          <w:lang w:val="en-CA"/>
        </w:rPr>
        <w:t xml:space="preserve"> </w:t>
      </w:r>
      <w:r w:rsidR="00637F02">
        <w:rPr>
          <w:lang w:val="en-CA"/>
        </w:rPr>
        <w:t xml:space="preserve">Operating expenses </w:t>
      </w:r>
      <w:r w:rsidR="000F412C">
        <w:rPr>
          <w:lang w:val="en-CA"/>
        </w:rPr>
        <w:t xml:space="preserve">were higher in </w:t>
      </w:r>
      <w:r w:rsidR="00BA6823">
        <w:rPr>
          <w:lang w:val="en-CA"/>
        </w:rPr>
        <w:t>2023-24</w:t>
      </w:r>
      <w:r w:rsidR="000F412C">
        <w:rPr>
          <w:lang w:val="en-CA"/>
        </w:rPr>
        <w:t xml:space="preserve"> in most areas.  Salaries overall were higher as the Labour Settlement was attained and received by employees.   All service and supplies were higher as a lot of projects were accomplished and</w:t>
      </w:r>
      <w:r w:rsidR="00BA6823">
        <w:rPr>
          <w:lang w:val="en-CA"/>
        </w:rPr>
        <w:t xml:space="preserve"> a lot more Pro-D and mentorship for staff was implemented,</w:t>
      </w:r>
      <w:r w:rsidR="000F412C">
        <w:rPr>
          <w:lang w:val="en-CA"/>
        </w:rPr>
        <w:t xml:space="preserve"> other costs were just generally increased.</w:t>
      </w:r>
    </w:p>
    <w:p w14:paraId="66DCC8EE" w14:textId="6AA4937F" w:rsidR="000F412C" w:rsidRDefault="00BA6823">
      <w:pPr>
        <w:rPr>
          <w:lang w:val="en-CA"/>
        </w:rPr>
      </w:pPr>
      <w:r>
        <w:rPr>
          <w:noProof/>
          <w:lang w:val="en-CA"/>
        </w:rPr>
        <w:drawing>
          <wp:inline distT="0" distB="0" distL="0" distR="0" wp14:anchorId="755F456A" wp14:editId="20E0FF17">
            <wp:extent cx="5619750" cy="2433375"/>
            <wp:effectExtent l="0" t="0" r="0" b="5080"/>
            <wp:docPr id="17008033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4669" cy="2435505"/>
                    </a:xfrm>
                    <a:prstGeom prst="rect">
                      <a:avLst/>
                    </a:prstGeom>
                    <a:noFill/>
                  </pic:spPr>
                </pic:pic>
              </a:graphicData>
            </a:graphic>
          </wp:inline>
        </w:drawing>
      </w:r>
    </w:p>
    <w:p w14:paraId="14220015" w14:textId="44652363" w:rsidR="007824F1" w:rsidRDefault="007824F1">
      <w:pPr>
        <w:rPr>
          <w:lang w:val="en-CA"/>
        </w:rPr>
      </w:pPr>
    </w:p>
    <w:p w14:paraId="2F74EA6D" w14:textId="77777777" w:rsidR="00C002FE" w:rsidRDefault="00C002FE">
      <w:pPr>
        <w:rPr>
          <w:b/>
          <w:bCs/>
          <w:lang w:val="en-CA"/>
        </w:rPr>
      </w:pPr>
    </w:p>
    <w:p w14:paraId="1E72CD92" w14:textId="11381471" w:rsidR="00ED06BA" w:rsidRDefault="00637F02">
      <w:pPr>
        <w:rPr>
          <w:lang w:val="en-CA"/>
        </w:rPr>
      </w:pPr>
      <w:r w:rsidRPr="002F2DE1">
        <w:rPr>
          <w:b/>
          <w:bCs/>
          <w:lang w:val="en-CA"/>
        </w:rPr>
        <w:t>Salaries</w:t>
      </w:r>
      <w:r>
        <w:rPr>
          <w:lang w:val="en-CA"/>
        </w:rPr>
        <w:t xml:space="preserve"> </w:t>
      </w:r>
      <w:r w:rsidR="00631880">
        <w:rPr>
          <w:lang w:val="en-CA"/>
        </w:rPr>
        <w:t xml:space="preserve">are up </w:t>
      </w:r>
      <w:r w:rsidR="00ED06BA">
        <w:rPr>
          <w:lang w:val="en-CA"/>
        </w:rPr>
        <w:t>in general due to the Labour Settlement</w:t>
      </w:r>
      <w:r w:rsidR="00631880">
        <w:rPr>
          <w:lang w:val="en-CA"/>
        </w:rPr>
        <w:t xml:space="preserve">.  </w:t>
      </w:r>
      <w:r w:rsidR="00BA6823">
        <w:rPr>
          <w:lang w:val="en-CA"/>
        </w:rPr>
        <w:t>The District is showing more success with recruitment and retention of teachers and therefore, these expenses are as expected</w:t>
      </w:r>
      <w:r w:rsidR="00C002FE">
        <w:rPr>
          <w:lang w:val="en-CA"/>
        </w:rPr>
        <w:t>.</w:t>
      </w:r>
    </w:p>
    <w:p w14:paraId="6ED5BA2F" w14:textId="77777777" w:rsidR="00C002FE" w:rsidRDefault="00C002FE">
      <w:pPr>
        <w:rPr>
          <w:lang w:val="en-CA"/>
        </w:rPr>
      </w:pPr>
    </w:p>
    <w:p w14:paraId="7C909319" w14:textId="77777777" w:rsidR="00C002FE" w:rsidRDefault="00C002FE">
      <w:pPr>
        <w:rPr>
          <w:lang w:val="en-CA"/>
        </w:rPr>
      </w:pPr>
    </w:p>
    <w:p w14:paraId="1A8A2C0E" w14:textId="2BAD92B6" w:rsidR="00BA6823" w:rsidRDefault="00BA6823">
      <w:pPr>
        <w:rPr>
          <w:lang w:val="en-CA"/>
        </w:rPr>
      </w:pPr>
      <w:r>
        <w:rPr>
          <w:noProof/>
          <w:lang w:val="en-CA"/>
        </w:rPr>
        <w:drawing>
          <wp:inline distT="0" distB="0" distL="0" distR="0" wp14:anchorId="4C7CA96F" wp14:editId="43CA7489">
            <wp:extent cx="5781675" cy="3676650"/>
            <wp:effectExtent l="0" t="0" r="9525" b="0"/>
            <wp:docPr id="15115812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2804" cy="3677368"/>
                    </a:xfrm>
                    <a:prstGeom prst="rect">
                      <a:avLst/>
                    </a:prstGeom>
                    <a:noFill/>
                  </pic:spPr>
                </pic:pic>
              </a:graphicData>
            </a:graphic>
          </wp:inline>
        </w:drawing>
      </w:r>
    </w:p>
    <w:p w14:paraId="21E5439D" w14:textId="77777777" w:rsidR="00C002FE" w:rsidRDefault="00C002FE">
      <w:pPr>
        <w:rPr>
          <w:lang w:val="en-CA"/>
        </w:rPr>
      </w:pPr>
    </w:p>
    <w:p w14:paraId="4B9CE688" w14:textId="14388759" w:rsidR="007971FF" w:rsidRDefault="00E44A74">
      <w:pPr>
        <w:rPr>
          <w:lang w:val="en-CA"/>
        </w:rPr>
      </w:pPr>
      <w:r>
        <w:rPr>
          <w:lang w:val="en-CA"/>
        </w:rPr>
        <w:t xml:space="preserve"> </w:t>
      </w:r>
    </w:p>
    <w:p w14:paraId="1654A387" w14:textId="374B4F55" w:rsidR="002F2DE1" w:rsidRDefault="00637F02">
      <w:pPr>
        <w:rPr>
          <w:lang w:val="en-CA"/>
        </w:rPr>
      </w:pPr>
      <w:r>
        <w:rPr>
          <w:lang w:val="en-CA"/>
        </w:rPr>
        <w:t xml:space="preserve">Salaries and Benefits total </w:t>
      </w:r>
      <w:r w:rsidR="00ED06BA">
        <w:rPr>
          <w:lang w:val="en-CA"/>
        </w:rPr>
        <w:t>7</w:t>
      </w:r>
      <w:r w:rsidR="00BA6823">
        <w:rPr>
          <w:lang w:val="en-CA"/>
        </w:rPr>
        <w:t>0</w:t>
      </w:r>
      <w:r>
        <w:rPr>
          <w:lang w:val="en-CA"/>
        </w:rPr>
        <w:t>% of Expenses and are controlled by contracts and provincial negotiations</w:t>
      </w:r>
      <w:r w:rsidR="00610F10">
        <w:rPr>
          <w:lang w:val="en-CA"/>
        </w:rPr>
        <w:t>.  These amounts must be paid and the Board has no direct control over these costs.</w:t>
      </w:r>
    </w:p>
    <w:p w14:paraId="26049D36" w14:textId="77777777" w:rsidR="00C002FE" w:rsidRDefault="00C002FE">
      <w:pPr>
        <w:rPr>
          <w:lang w:val="en-CA"/>
        </w:rPr>
      </w:pPr>
    </w:p>
    <w:p w14:paraId="64AED6A8" w14:textId="40F30246" w:rsidR="002F2DE1" w:rsidRDefault="002F2DE1">
      <w:pPr>
        <w:rPr>
          <w:lang w:val="en-CA"/>
        </w:rPr>
      </w:pPr>
      <w:r w:rsidRPr="002F2DE1">
        <w:rPr>
          <w:b/>
          <w:bCs/>
          <w:lang w:val="en-CA"/>
        </w:rPr>
        <w:t>Services and supplies</w:t>
      </w:r>
      <w:r>
        <w:rPr>
          <w:lang w:val="en-CA"/>
        </w:rPr>
        <w:t xml:space="preserve"> make up the remaining </w:t>
      </w:r>
      <w:r w:rsidR="00BA6823">
        <w:rPr>
          <w:lang w:val="en-CA"/>
        </w:rPr>
        <w:t>30</w:t>
      </w:r>
      <w:r>
        <w:rPr>
          <w:lang w:val="en-CA"/>
        </w:rPr>
        <w:t xml:space="preserve">% of expenses, however the Board also does not have control in how much is spent on insurance and utilities, these are established by those companies.  When those costs are removed from the equations, the service and supplies expenses that the Board actually has control and choice over drops to </w:t>
      </w:r>
      <w:r w:rsidR="00BA6823">
        <w:rPr>
          <w:lang w:val="en-CA"/>
        </w:rPr>
        <w:t>27</w:t>
      </w:r>
      <w:r>
        <w:rPr>
          <w:lang w:val="en-CA"/>
        </w:rPr>
        <w:t>% or $</w:t>
      </w:r>
      <w:r w:rsidR="00BA6823">
        <w:rPr>
          <w:lang w:val="en-CA"/>
        </w:rPr>
        <w:t>2.6</w:t>
      </w:r>
      <w:r>
        <w:rPr>
          <w:lang w:val="en-CA"/>
        </w:rPr>
        <w:t>M.  It is with this amount that they are expected to efficiently run this district and meet the needs of all students</w:t>
      </w:r>
      <w:r w:rsidR="00E9713E">
        <w:rPr>
          <w:lang w:val="en-CA"/>
        </w:rPr>
        <w:t>.</w:t>
      </w:r>
    </w:p>
    <w:p w14:paraId="56F98699" w14:textId="77777777" w:rsidR="00ED06BA" w:rsidRDefault="00ED06BA">
      <w:pPr>
        <w:rPr>
          <w:lang w:val="en-CA"/>
        </w:rPr>
      </w:pPr>
    </w:p>
    <w:p w14:paraId="57BDA678" w14:textId="4FE88A6D" w:rsidR="00E9713E" w:rsidRDefault="00C002FE">
      <w:pPr>
        <w:rPr>
          <w:lang w:val="en-CA"/>
        </w:rPr>
      </w:pPr>
      <w:r>
        <w:rPr>
          <w:noProof/>
          <w:lang w:val="en-CA"/>
        </w:rPr>
        <w:lastRenderedPageBreak/>
        <w:drawing>
          <wp:inline distT="0" distB="0" distL="0" distR="0" wp14:anchorId="74F77C7A" wp14:editId="08F51B9B">
            <wp:extent cx="6143625" cy="3781425"/>
            <wp:effectExtent l="0" t="0" r="9525" b="9525"/>
            <wp:docPr id="2926351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3625" cy="3781425"/>
                    </a:xfrm>
                    <a:prstGeom prst="rect">
                      <a:avLst/>
                    </a:prstGeom>
                    <a:noFill/>
                  </pic:spPr>
                </pic:pic>
              </a:graphicData>
            </a:graphic>
          </wp:inline>
        </w:drawing>
      </w:r>
    </w:p>
    <w:p w14:paraId="2DCF4ED5" w14:textId="62D3013D" w:rsidR="00E9713E" w:rsidRDefault="00E9713E">
      <w:pPr>
        <w:rPr>
          <w:lang w:val="en-CA"/>
        </w:rPr>
      </w:pPr>
    </w:p>
    <w:p w14:paraId="593EDD46" w14:textId="602C98EE" w:rsidR="00E9713E" w:rsidRDefault="007B1749" w:rsidP="008D7AD5">
      <w:pPr>
        <w:rPr>
          <w:lang w:val="en-CA"/>
        </w:rPr>
      </w:pPr>
      <w:r w:rsidRPr="00E44A74">
        <w:rPr>
          <w:b/>
          <w:bCs/>
          <w:color w:val="E36C0A" w:themeColor="accent6" w:themeShade="BF"/>
          <w:lang w:val="en-CA"/>
        </w:rPr>
        <w:t>Operating</w:t>
      </w:r>
      <w:r w:rsidR="00F01B0A" w:rsidRPr="00E44A74">
        <w:rPr>
          <w:b/>
          <w:bCs/>
          <w:color w:val="E36C0A" w:themeColor="accent6" w:themeShade="BF"/>
          <w:lang w:val="en-CA"/>
        </w:rPr>
        <w:t xml:space="preserve"> surplus</w:t>
      </w:r>
      <w:r w:rsidR="00F01B0A" w:rsidRPr="00E44A74">
        <w:rPr>
          <w:color w:val="E36C0A" w:themeColor="accent6" w:themeShade="BF"/>
          <w:lang w:val="en-CA"/>
        </w:rPr>
        <w:t xml:space="preserve"> </w:t>
      </w:r>
      <w:r>
        <w:rPr>
          <w:lang w:val="en-CA"/>
        </w:rPr>
        <w:t>as noted above totals $</w:t>
      </w:r>
      <w:r w:rsidR="00C002FE">
        <w:rPr>
          <w:lang w:val="en-CA"/>
        </w:rPr>
        <w:t>3.13</w:t>
      </w:r>
      <w:r>
        <w:rPr>
          <w:lang w:val="en-CA"/>
        </w:rPr>
        <w:t xml:space="preserve">M.  It </w:t>
      </w:r>
      <w:r w:rsidR="00F01B0A">
        <w:rPr>
          <w:lang w:val="en-CA"/>
        </w:rPr>
        <w:t xml:space="preserve">has been restricted by the Board of </w:t>
      </w:r>
      <w:r w:rsidR="00A9233C">
        <w:rPr>
          <w:lang w:val="en-CA"/>
        </w:rPr>
        <w:t>E</w:t>
      </w:r>
      <w:r w:rsidR="00F01B0A">
        <w:rPr>
          <w:lang w:val="en-CA"/>
        </w:rPr>
        <w:t xml:space="preserve">ducation as per </w:t>
      </w:r>
      <w:r>
        <w:rPr>
          <w:lang w:val="en-CA"/>
        </w:rPr>
        <w:t xml:space="preserve">their </w:t>
      </w:r>
      <w:r w:rsidR="00F01B0A">
        <w:rPr>
          <w:lang w:val="en-CA"/>
        </w:rPr>
        <w:t xml:space="preserve">Board </w:t>
      </w:r>
      <w:r w:rsidR="005D49EB">
        <w:rPr>
          <w:lang w:val="en-CA"/>
        </w:rPr>
        <w:t>Procedures OP-504</w:t>
      </w:r>
      <w:r>
        <w:rPr>
          <w:lang w:val="en-CA"/>
        </w:rPr>
        <w:t xml:space="preserve">, further, all of their decisions in this regard have been considered with the districts vision and goals.  See the districts website for more information.  </w:t>
      </w:r>
      <w:r w:rsidR="00F01B0A">
        <w:rPr>
          <w:lang w:val="en-CA"/>
        </w:rPr>
        <w:t>A breakdown of</w:t>
      </w:r>
      <w:r w:rsidR="00C512C7">
        <w:rPr>
          <w:lang w:val="en-CA"/>
        </w:rPr>
        <w:t xml:space="preserve"> these</w:t>
      </w:r>
      <w:r w:rsidR="00F01B0A">
        <w:rPr>
          <w:lang w:val="en-CA"/>
        </w:rPr>
        <w:t xml:space="preserve"> restricted amounts</w:t>
      </w:r>
      <w:r w:rsidR="00C512C7">
        <w:rPr>
          <w:lang w:val="en-CA"/>
        </w:rPr>
        <w:t xml:space="preserve"> follows and can also be found </w:t>
      </w:r>
      <w:r w:rsidR="00F01B0A">
        <w:rPr>
          <w:lang w:val="en-CA"/>
        </w:rPr>
        <w:t>in Note 1</w:t>
      </w:r>
      <w:r w:rsidR="00E9713E">
        <w:rPr>
          <w:lang w:val="en-CA"/>
        </w:rPr>
        <w:t>6</w:t>
      </w:r>
      <w:r w:rsidR="00F01B0A">
        <w:rPr>
          <w:lang w:val="en-CA"/>
        </w:rPr>
        <w:t xml:space="preserve"> </w:t>
      </w:r>
      <w:r w:rsidR="00C512C7">
        <w:rPr>
          <w:lang w:val="en-CA"/>
        </w:rPr>
        <w:t xml:space="preserve">in </w:t>
      </w:r>
      <w:r w:rsidR="00F01B0A">
        <w:rPr>
          <w:lang w:val="en-CA"/>
        </w:rPr>
        <w:t>the financial statement</w:t>
      </w:r>
      <w:r>
        <w:rPr>
          <w:lang w:val="en-CA"/>
        </w:rPr>
        <w:t>s</w:t>
      </w:r>
      <w:r w:rsidR="00F01B0A">
        <w:rPr>
          <w:lang w:val="en-CA"/>
        </w:rPr>
        <w:t>.</w:t>
      </w:r>
    </w:p>
    <w:p w14:paraId="6E0A6146" w14:textId="79C77CE0" w:rsidR="00C002FE" w:rsidRDefault="00C002FE" w:rsidP="008D7AD5">
      <w:r>
        <w:rPr>
          <w:lang w:val="en-CA"/>
        </w:rPr>
        <w:fldChar w:fldCharType="begin"/>
      </w:r>
      <w:r>
        <w:rPr>
          <w:lang w:val="en-CA"/>
        </w:rPr>
        <w:instrText xml:space="preserve"> LINK </w:instrText>
      </w:r>
      <w:r w:rsidR="00376407">
        <w:rPr>
          <w:lang w:val="en-CA"/>
        </w:rPr>
        <w:instrText xml:space="preserve">Excel.Sheet.12 "C:\\Users\\aunti\\Desktop\\SD 92 YE 2023-24\\2023.24 FSDA\\SD 92 Analysis Graphs 2023-24.xlsx" "Stmt 2!R61C1:R75C3" </w:instrText>
      </w:r>
      <w:r>
        <w:rPr>
          <w:lang w:val="en-CA"/>
        </w:rPr>
        <w:instrText xml:space="preserve">\a \f 4 \h </w:instrText>
      </w:r>
      <w:r w:rsidR="00EF4766">
        <w:rPr>
          <w:lang w:val="en-CA"/>
        </w:rPr>
        <w:instrText xml:space="preserve"> \* MERGEFORMAT </w:instrText>
      </w:r>
      <w:r>
        <w:rPr>
          <w:lang w:val="en-CA"/>
        </w:rPr>
        <w:fldChar w:fldCharType="separate"/>
      </w:r>
    </w:p>
    <w:tbl>
      <w:tblPr>
        <w:tblStyle w:val="TableGridLight"/>
        <w:tblW w:w="7200" w:type="dxa"/>
        <w:tblLook w:val="04A0" w:firstRow="1" w:lastRow="0" w:firstColumn="1" w:lastColumn="0" w:noHBand="0" w:noVBand="1"/>
      </w:tblPr>
      <w:tblGrid>
        <w:gridCol w:w="4540"/>
        <w:gridCol w:w="1480"/>
        <w:gridCol w:w="1218"/>
      </w:tblGrid>
      <w:tr w:rsidR="00C002FE" w:rsidRPr="00C002FE" w14:paraId="52553D2D" w14:textId="77777777" w:rsidTr="00EF4766">
        <w:trPr>
          <w:trHeight w:val="300"/>
        </w:trPr>
        <w:tc>
          <w:tcPr>
            <w:tcW w:w="4540" w:type="dxa"/>
            <w:noWrap/>
            <w:hideMark/>
          </w:tcPr>
          <w:p w14:paraId="4B6083C7" w14:textId="324722AF"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Restricted Operating Surplus</w:t>
            </w:r>
          </w:p>
        </w:tc>
        <w:tc>
          <w:tcPr>
            <w:tcW w:w="1480" w:type="dxa"/>
            <w:noWrap/>
            <w:hideMark/>
          </w:tcPr>
          <w:p w14:paraId="50AC3BDD" w14:textId="77777777" w:rsidR="00C002FE" w:rsidRPr="00C002FE" w:rsidRDefault="00C002FE" w:rsidP="00C002FE">
            <w:pPr>
              <w:rPr>
                <w:rFonts w:ascii="Calibri" w:eastAsia="Times New Roman" w:hAnsi="Calibri" w:cs="Calibri"/>
                <w:color w:val="000000"/>
                <w:sz w:val="22"/>
                <w:szCs w:val="22"/>
                <w:lang w:val="en-CA" w:eastAsia="en-CA"/>
              </w:rPr>
            </w:pPr>
          </w:p>
        </w:tc>
        <w:tc>
          <w:tcPr>
            <w:tcW w:w="1180" w:type="dxa"/>
            <w:noWrap/>
            <w:hideMark/>
          </w:tcPr>
          <w:p w14:paraId="7A816D91" w14:textId="77777777" w:rsidR="00C002FE" w:rsidRPr="00C002FE" w:rsidRDefault="00C002FE" w:rsidP="00C002FE">
            <w:pPr>
              <w:rPr>
                <w:rFonts w:ascii="Times New Roman" w:eastAsia="Times New Roman" w:hAnsi="Times New Roman" w:cs="Times New Roman"/>
                <w:sz w:val="20"/>
                <w:szCs w:val="20"/>
                <w:lang w:val="en-CA" w:eastAsia="en-CA"/>
              </w:rPr>
            </w:pPr>
          </w:p>
        </w:tc>
      </w:tr>
      <w:tr w:rsidR="00C002FE" w:rsidRPr="00C002FE" w14:paraId="58FE67A8" w14:textId="77777777" w:rsidTr="00EF4766">
        <w:trPr>
          <w:trHeight w:val="300"/>
        </w:trPr>
        <w:tc>
          <w:tcPr>
            <w:tcW w:w="4540" w:type="dxa"/>
            <w:noWrap/>
            <w:hideMark/>
          </w:tcPr>
          <w:p w14:paraId="2B18B799" w14:textId="77777777"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Language and Culture</w:t>
            </w:r>
          </w:p>
        </w:tc>
        <w:tc>
          <w:tcPr>
            <w:tcW w:w="1480" w:type="dxa"/>
            <w:noWrap/>
            <w:hideMark/>
          </w:tcPr>
          <w:p w14:paraId="6E4830A9" w14:textId="5019125F" w:rsidR="00C002FE" w:rsidRPr="00C002FE" w:rsidRDefault="00B57AFE" w:rsidP="00C002FE">
            <w:pPr>
              <w:jc w:val="right"/>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13</w:t>
            </w:r>
            <w:r w:rsidR="00C002FE" w:rsidRPr="00C002FE">
              <w:rPr>
                <w:rFonts w:ascii="Calibri" w:eastAsia="Times New Roman" w:hAnsi="Calibri" w:cs="Calibri"/>
                <w:color w:val="000000"/>
                <w:sz w:val="22"/>
                <w:szCs w:val="22"/>
                <w:lang w:val="en-CA" w:eastAsia="en-CA"/>
              </w:rPr>
              <w:t>0,000</w:t>
            </w:r>
          </w:p>
        </w:tc>
        <w:tc>
          <w:tcPr>
            <w:tcW w:w="1180" w:type="dxa"/>
            <w:noWrap/>
            <w:hideMark/>
          </w:tcPr>
          <w:p w14:paraId="627FB98E" w14:textId="77777777" w:rsidR="00C002FE" w:rsidRPr="00C002FE" w:rsidRDefault="00C002FE" w:rsidP="00C002FE">
            <w:pPr>
              <w:jc w:val="right"/>
              <w:rPr>
                <w:rFonts w:ascii="Calibri" w:eastAsia="Times New Roman" w:hAnsi="Calibri" w:cs="Calibri"/>
                <w:color w:val="000000"/>
                <w:sz w:val="22"/>
                <w:szCs w:val="22"/>
                <w:lang w:val="en-CA" w:eastAsia="en-CA"/>
              </w:rPr>
            </w:pPr>
          </w:p>
        </w:tc>
      </w:tr>
      <w:tr w:rsidR="00C002FE" w:rsidRPr="00C002FE" w14:paraId="4D60378E" w14:textId="77777777" w:rsidTr="00EF4766">
        <w:trPr>
          <w:trHeight w:val="300"/>
        </w:trPr>
        <w:tc>
          <w:tcPr>
            <w:tcW w:w="4540" w:type="dxa"/>
            <w:noWrap/>
            <w:hideMark/>
          </w:tcPr>
          <w:p w14:paraId="32DB8787" w14:textId="77777777"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Board Retreat</w:t>
            </w:r>
          </w:p>
        </w:tc>
        <w:tc>
          <w:tcPr>
            <w:tcW w:w="1480" w:type="dxa"/>
            <w:noWrap/>
            <w:hideMark/>
          </w:tcPr>
          <w:p w14:paraId="2AEB044F" w14:textId="77777777" w:rsidR="00C002FE" w:rsidRPr="00C002FE" w:rsidRDefault="00C002FE" w:rsidP="00C002FE">
            <w:pPr>
              <w:jc w:val="right"/>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15,000</w:t>
            </w:r>
          </w:p>
        </w:tc>
        <w:tc>
          <w:tcPr>
            <w:tcW w:w="1180" w:type="dxa"/>
            <w:noWrap/>
            <w:hideMark/>
          </w:tcPr>
          <w:p w14:paraId="1511225E" w14:textId="77777777" w:rsidR="00C002FE" w:rsidRPr="00C002FE" w:rsidRDefault="00C002FE" w:rsidP="00C002FE">
            <w:pPr>
              <w:jc w:val="right"/>
              <w:rPr>
                <w:rFonts w:ascii="Calibri" w:eastAsia="Times New Roman" w:hAnsi="Calibri" w:cs="Calibri"/>
                <w:color w:val="000000"/>
                <w:sz w:val="22"/>
                <w:szCs w:val="22"/>
                <w:lang w:val="en-CA" w:eastAsia="en-CA"/>
              </w:rPr>
            </w:pPr>
          </w:p>
        </w:tc>
      </w:tr>
      <w:tr w:rsidR="00C002FE" w:rsidRPr="00C002FE" w14:paraId="21496C59" w14:textId="77777777" w:rsidTr="00EF4766">
        <w:trPr>
          <w:trHeight w:val="300"/>
        </w:trPr>
        <w:tc>
          <w:tcPr>
            <w:tcW w:w="4540" w:type="dxa"/>
            <w:noWrap/>
            <w:hideMark/>
          </w:tcPr>
          <w:p w14:paraId="7F402065" w14:textId="77777777"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Leadership/Mentorship – Supt/ST/Board/PROD</w:t>
            </w:r>
          </w:p>
        </w:tc>
        <w:tc>
          <w:tcPr>
            <w:tcW w:w="1480" w:type="dxa"/>
            <w:noWrap/>
            <w:hideMark/>
          </w:tcPr>
          <w:p w14:paraId="5A27AC6A" w14:textId="77777777" w:rsidR="00C002FE" w:rsidRPr="00C002FE" w:rsidRDefault="00C002FE" w:rsidP="00C002FE">
            <w:pPr>
              <w:jc w:val="right"/>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100,000</w:t>
            </w:r>
          </w:p>
        </w:tc>
        <w:tc>
          <w:tcPr>
            <w:tcW w:w="1180" w:type="dxa"/>
            <w:noWrap/>
            <w:hideMark/>
          </w:tcPr>
          <w:p w14:paraId="3F0E43BC" w14:textId="77777777" w:rsidR="00C002FE" w:rsidRPr="00C002FE" w:rsidRDefault="00C002FE" w:rsidP="00C002FE">
            <w:pPr>
              <w:jc w:val="right"/>
              <w:rPr>
                <w:rFonts w:ascii="Calibri" w:eastAsia="Times New Roman" w:hAnsi="Calibri" w:cs="Calibri"/>
                <w:color w:val="000000"/>
                <w:sz w:val="22"/>
                <w:szCs w:val="22"/>
                <w:lang w:val="en-CA" w:eastAsia="en-CA"/>
              </w:rPr>
            </w:pPr>
          </w:p>
        </w:tc>
      </w:tr>
      <w:tr w:rsidR="00C002FE" w:rsidRPr="00C002FE" w14:paraId="111D352E" w14:textId="77777777" w:rsidTr="00EF4766">
        <w:trPr>
          <w:trHeight w:val="300"/>
        </w:trPr>
        <w:tc>
          <w:tcPr>
            <w:tcW w:w="4540" w:type="dxa"/>
            <w:noWrap/>
            <w:hideMark/>
          </w:tcPr>
          <w:p w14:paraId="18CE5F23" w14:textId="77777777"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Cabinet replacement – Teacherages</w:t>
            </w:r>
          </w:p>
        </w:tc>
        <w:tc>
          <w:tcPr>
            <w:tcW w:w="1480" w:type="dxa"/>
            <w:noWrap/>
            <w:hideMark/>
          </w:tcPr>
          <w:p w14:paraId="40247C29" w14:textId="77777777" w:rsidR="00C002FE" w:rsidRPr="00C002FE" w:rsidRDefault="00C002FE" w:rsidP="00C002FE">
            <w:pPr>
              <w:jc w:val="right"/>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25,000</w:t>
            </w:r>
          </w:p>
        </w:tc>
        <w:tc>
          <w:tcPr>
            <w:tcW w:w="1180" w:type="dxa"/>
            <w:noWrap/>
            <w:hideMark/>
          </w:tcPr>
          <w:p w14:paraId="52BBFE72" w14:textId="77777777" w:rsidR="00C002FE" w:rsidRPr="00C002FE" w:rsidRDefault="00C002FE" w:rsidP="00C002FE">
            <w:pPr>
              <w:jc w:val="right"/>
              <w:rPr>
                <w:rFonts w:ascii="Calibri" w:eastAsia="Times New Roman" w:hAnsi="Calibri" w:cs="Calibri"/>
                <w:color w:val="000000"/>
                <w:sz w:val="22"/>
                <w:szCs w:val="22"/>
                <w:lang w:val="en-CA" w:eastAsia="en-CA"/>
              </w:rPr>
            </w:pPr>
          </w:p>
        </w:tc>
      </w:tr>
      <w:tr w:rsidR="00C002FE" w:rsidRPr="00C002FE" w14:paraId="33991865" w14:textId="77777777" w:rsidTr="00EF4766">
        <w:trPr>
          <w:trHeight w:val="300"/>
        </w:trPr>
        <w:tc>
          <w:tcPr>
            <w:tcW w:w="4540" w:type="dxa"/>
            <w:noWrap/>
            <w:hideMark/>
          </w:tcPr>
          <w:p w14:paraId="288DF06B" w14:textId="335188D8" w:rsidR="00C002FE" w:rsidRPr="00C002FE" w:rsidRDefault="00B57AFE" w:rsidP="00C002FE">
            <w:pPr>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NESS Shops</w:t>
            </w:r>
          </w:p>
        </w:tc>
        <w:tc>
          <w:tcPr>
            <w:tcW w:w="1480" w:type="dxa"/>
            <w:noWrap/>
            <w:hideMark/>
          </w:tcPr>
          <w:p w14:paraId="684CF004" w14:textId="77777777" w:rsidR="00C002FE" w:rsidRPr="00C002FE" w:rsidRDefault="00C002FE" w:rsidP="00C002FE">
            <w:pPr>
              <w:jc w:val="right"/>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150,000</w:t>
            </w:r>
          </w:p>
        </w:tc>
        <w:tc>
          <w:tcPr>
            <w:tcW w:w="1180" w:type="dxa"/>
            <w:noWrap/>
            <w:hideMark/>
          </w:tcPr>
          <w:p w14:paraId="6AA0BDAA" w14:textId="77777777" w:rsidR="00C002FE" w:rsidRPr="00C002FE" w:rsidRDefault="00C002FE" w:rsidP="00C002FE">
            <w:pPr>
              <w:jc w:val="right"/>
              <w:rPr>
                <w:rFonts w:ascii="Calibri" w:eastAsia="Times New Roman" w:hAnsi="Calibri" w:cs="Calibri"/>
                <w:color w:val="000000"/>
                <w:sz w:val="22"/>
                <w:szCs w:val="22"/>
                <w:lang w:val="en-CA" w:eastAsia="en-CA"/>
              </w:rPr>
            </w:pPr>
          </w:p>
        </w:tc>
      </w:tr>
      <w:tr w:rsidR="00C002FE" w:rsidRPr="00C002FE" w14:paraId="20943482" w14:textId="77777777" w:rsidTr="00EF4766">
        <w:trPr>
          <w:trHeight w:val="300"/>
        </w:trPr>
        <w:tc>
          <w:tcPr>
            <w:tcW w:w="4540" w:type="dxa"/>
            <w:noWrap/>
            <w:hideMark/>
          </w:tcPr>
          <w:p w14:paraId="1349BB47" w14:textId="77777777"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IT Infrastructure</w:t>
            </w:r>
          </w:p>
        </w:tc>
        <w:tc>
          <w:tcPr>
            <w:tcW w:w="1480" w:type="dxa"/>
            <w:noWrap/>
            <w:hideMark/>
          </w:tcPr>
          <w:p w14:paraId="0EA24B71" w14:textId="77777777" w:rsidR="00C002FE" w:rsidRPr="00C002FE" w:rsidRDefault="00C002FE" w:rsidP="00C002FE">
            <w:pPr>
              <w:jc w:val="right"/>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80,000</w:t>
            </w:r>
          </w:p>
        </w:tc>
        <w:tc>
          <w:tcPr>
            <w:tcW w:w="1180" w:type="dxa"/>
            <w:noWrap/>
            <w:hideMark/>
          </w:tcPr>
          <w:p w14:paraId="0334EDD2" w14:textId="77777777" w:rsidR="00C002FE" w:rsidRPr="00C002FE" w:rsidRDefault="00C002FE" w:rsidP="00C002FE">
            <w:pPr>
              <w:jc w:val="right"/>
              <w:rPr>
                <w:rFonts w:ascii="Calibri" w:eastAsia="Times New Roman" w:hAnsi="Calibri" w:cs="Calibri"/>
                <w:color w:val="000000"/>
                <w:sz w:val="22"/>
                <w:szCs w:val="22"/>
                <w:lang w:val="en-CA" w:eastAsia="en-CA"/>
              </w:rPr>
            </w:pPr>
          </w:p>
        </w:tc>
      </w:tr>
      <w:tr w:rsidR="00C002FE" w:rsidRPr="00C002FE" w14:paraId="5BA89BF2" w14:textId="77777777" w:rsidTr="00EF4766">
        <w:trPr>
          <w:trHeight w:val="300"/>
        </w:trPr>
        <w:tc>
          <w:tcPr>
            <w:tcW w:w="4540" w:type="dxa"/>
            <w:noWrap/>
            <w:hideMark/>
          </w:tcPr>
          <w:p w14:paraId="70AF20F0" w14:textId="15B41060" w:rsidR="00C002FE" w:rsidRPr="00C002FE" w:rsidRDefault="00C002FE" w:rsidP="00C002FE">
            <w:pPr>
              <w:rPr>
                <w:rFonts w:ascii="Calibri" w:eastAsia="Times New Roman" w:hAnsi="Calibri" w:cs="Calibri"/>
                <w:color w:val="000000"/>
                <w:sz w:val="22"/>
                <w:szCs w:val="22"/>
                <w:lang w:val="en-CA" w:eastAsia="en-CA"/>
              </w:rPr>
            </w:pPr>
            <w:proofErr w:type="spellStart"/>
            <w:r w:rsidRPr="00C002FE">
              <w:rPr>
                <w:rFonts w:ascii="Calibri" w:eastAsia="Times New Roman" w:hAnsi="Calibri" w:cs="Calibri"/>
                <w:color w:val="000000"/>
                <w:sz w:val="22"/>
                <w:szCs w:val="22"/>
                <w:lang w:val="en-CA" w:eastAsia="en-CA"/>
              </w:rPr>
              <w:t>Cay</w:t>
            </w:r>
            <w:r w:rsidR="00747DB0">
              <w:rPr>
                <w:rFonts w:ascii="Calibri" w:eastAsia="Times New Roman" w:hAnsi="Calibri" w:cs="Calibri"/>
                <w:color w:val="000000"/>
                <w:sz w:val="22"/>
                <w:szCs w:val="22"/>
                <w:lang w:val="en-CA" w:eastAsia="en-CA"/>
              </w:rPr>
              <w:t>a</w:t>
            </w:r>
            <w:r w:rsidRPr="00C002FE">
              <w:rPr>
                <w:rFonts w:ascii="Calibri" w:eastAsia="Times New Roman" w:hAnsi="Calibri" w:cs="Calibri"/>
                <w:color w:val="000000"/>
                <w:sz w:val="22"/>
                <w:szCs w:val="22"/>
                <w:lang w:val="en-CA" w:eastAsia="en-CA"/>
              </w:rPr>
              <w:t>nta</w:t>
            </w:r>
            <w:proofErr w:type="spellEnd"/>
            <w:r w:rsidRPr="00C002FE">
              <w:rPr>
                <w:rFonts w:ascii="Calibri" w:eastAsia="Times New Roman" w:hAnsi="Calibri" w:cs="Calibri"/>
                <w:color w:val="000000"/>
                <w:sz w:val="22"/>
                <w:szCs w:val="22"/>
                <w:lang w:val="en-CA" w:eastAsia="en-CA"/>
              </w:rPr>
              <w:t xml:space="preserve"> Financial Software upgrade</w:t>
            </w:r>
          </w:p>
        </w:tc>
        <w:tc>
          <w:tcPr>
            <w:tcW w:w="1480" w:type="dxa"/>
            <w:noWrap/>
            <w:hideMark/>
          </w:tcPr>
          <w:p w14:paraId="098F937F" w14:textId="77777777" w:rsidR="00C002FE" w:rsidRPr="00C002FE" w:rsidRDefault="00C002FE" w:rsidP="00C002FE">
            <w:pPr>
              <w:jc w:val="right"/>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125,000</w:t>
            </w:r>
          </w:p>
        </w:tc>
        <w:tc>
          <w:tcPr>
            <w:tcW w:w="1180" w:type="dxa"/>
            <w:noWrap/>
            <w:hideMark/>
          </w:tcPr>
          <w:p w14:paraId="641A2FCC" w14:textId="77777777" w:rsidR="00C002FE" w:rsidRPr="00C002FE" w:rsidRDefault="00C002FE" w:rsidP="00C002FE">
            <w:pPr>
              <w:jc w:val="right"/>
              <w:rPr>
                <w:rFonts w:ascii="Calibri" w:eastAsia="Times New Roman" w:hAnsi="Calibri" w:cs="Calibri"/>
                <w:color w:val="000000"/>
                <w:sz w:val="22"/>
                <w:szCs w:val="22"/>
                <w:lang w:val="en-CA" w:eastAsia="en-CA"/>
              </w:rPr>
            </w:pPr>
          </w:p>
        </w:tc>
      </w:tr>
      <w:tr w:rsidR="00C002FE" w:rsidRPr="00C002FE" w14:paraId="64FD4BE2" w14:textId="77777777" w:rsidTr="00EF4766">
        <w:trPr>
          <w:trHeight w:val="300"/>
        </w:trPr>
        <w:tc>
          <w:tcPr>
            <w:tcW w:w="4540" w:type="dxa"/>
            <w:noWrap/>
            <w:hideMark/>
          </w:tcPr>
          <w:p w14:paraId="6E736FE6" w14:textId="77777777"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Heat pumps into all teacherages</w:t>
            </w:r>
          </w:p>
        </w:tc>
        <w:tc>
          <w:tcPr>
            <w:tcW w:w="1480" w:type="dxa"/>
            <w:noWrap/>
            <w:hideMark/>
          </w:tcPr>
          <w:p w14:paraId="5D98B45A" w14:textId="21D22FF2" w:rsidR="00C002FE" w:rsidRPr="00C002FE" w:rsidRDefault="00B57AFE" w:rsidP="00C002FE">
            <w:pPr>
              <w:jc w:val="right"/>
              <w:rPr>
                <w:rFonts w:ascii="Calibri" w:eastAsia="Times New Roman" w:hAnsi="Calibri" w:cs="Calibri"/>
                <w:sz w:val="22"/>
                <w:szCs w:val="22"/>
                <w:lang w:val="en-CA" w:eastAsia="en-CA"/>
              </w:rPr>
            </w:pPr>
            <w:r>
              <w:rPr>
                <w:rFonts w:ascii="Calibri" w:eastAsia="Times New Roman" w:hAnsi="Calibri" w:cs="Calibri"/>
                <w:sz w:val="22"/>
                <w:szCs w:val="22"/>
                <w:lang w:val="en-CA" w:eastAsia="en-CA"/>
              </w:rPr>
              <w:t>3</w:t>
            </w:r>
            <w:r w:rsidR="00C002FE" w:rsidRPr="00C002FE">
              <w:rPr>
                <w:rFonts w:ascii="Calibri" w:eastAsia="Times New Roman" w:hAnsi="Calibri" w:cs="Calibri"/>
                <w:sz w:val="22"/>
                <w:szCs w:val="22"/>
                <w:lang w:val="en-CA" w:eastAsia="en-CA"/>
              </w:rPr>
              <w:t>00,000</w:t>
            </w:r>
          </w:p>
        </w:tc>
        <w:tc>
          <w:tcPr>
            <w:tcW w:w="1180" w:type="dxa"/>
            <w:noWrap/>
            <w:hideMark/>
          </w:tcPr>
          <w:p w14:paraId="464BCCD1" w14:textId="77777777" w:rsidR="00C002FE" w:rsidRPr="00C002FE" w:rsidRDefault="00C002FE" w:rsidP="00C002FE">
            <w:pPr>
              <w:jc w:val="right"/>
              <w:rPr>
                <w:rFonts w:ascii="Calibri" w:eastAsia="Times New Roman" w:hAnsi="Calibri" w:cs="Calibri"/>
                <w:sz w:val="22"/>
                <w:szCs w:val="22"/>
                <w:lang w:val="en-CA" w:eastAsia="en-CA"/>
              </w:rPr>
            </w:pPr>
          </w:p>
        </w:tc>
      </w:tr>
      <w:tr w:rsidR="00C002FE" w:rsidRPr="00C002FE" w14:paraId="220A0703" w14:textId="77777777" w:rsidTr="00EF4766">
        <w:trPr>
          <w:trHeight w:val="300"/>
        </w:trPr>
        <w:tc>
          <w:tcPr>
            <w:tcW w:w="4540" w:type="dxa"/>
            <w:noWrap/>
            <w:hideMark/>
          </w:tcPr>
          <w:p w14:paraId="645514C3" w14:textId="1C05F70E"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Replace vehicle</w:t>
            </w:r>
            <w:r w:rsidR="00B57AFE">
              <w:rPr>
                <w:rFonts w:ascii="Calibri" w:eastAsia="Times New Roman" w:hAnsi="Calibri" w:cs="Calibri"/>
                <w:color w:val="000000"/>
                <w:sz w:val="22"/>
                <w:szCs w:val="22"/>
                <w:lang w:val="en-CA" w:eastAsia="en-CA"/>
              </w:rPr>
              <w:t>(e-vehicle)</w:t>
            </w:r>
          </w:p>
        </w:tc>
        <w:tc>
          <w:tcPr>
            <w:tcW w:w="1480" w:type="dxa"/>
            <w:noWrap/>
            <w:hideMark/>
          </w:tcPr>
          <w:p w14:paraId="2F0A59C1" w14:textId="77777777" w:rsidR="00C002FE" w:rsidRPr="00C002FE" w:rsidRDefault="00C002FE" w:rsidP="00C002FE">
            <w:pPr>
              <w:jc w:val="right"/>
              <w:rPr>
                <w:rFonts w:ascii="Calibri" w:eastAsia="Times New Roman" w:hAnsi="Calibri" w:cs="Calibri"/>
                <w:sz w:val="22"/>
                <w:szCs w:val="22"/>
                <w:lang w:val="en-CA" w:eastAsia="en-CA"/>
              </w:rPr>
            </w:pPr>
            <w:r w:rsidRPr="00C002FE">
              <w:rPr>
                <w:rFonts w:ascii="Calibri" w:eastAsia="Times New Roman" w:hAnsi="Calibri" w:cs="Calibri"/>
                <w:sz w:val="22"/>
                <w:szCs w:val="22"/>
                <w:lang w:val="en-CA" w:eastAsia="en-CA"/>
              </w:rPr>
              <w:t>75,000</w:t>
            </w:r>
          </w:p>
        </w:tc>
        <w:tc>
          <w:tcPr>
            <w:tcW w:w="1180" w:type="dxa"/>
            <w:noWrap/>
            <w:hideMark/>
          </w:tcPr>
          <w:p w14:paraId="3B21FD95" w14:textId="77777777" w:rsidR="00C002FE" w:rsidRPr="00C002FE" w:rsidRDefault="00C002FE" w:rsidP="00C002FE">
            <w:pPr>
              <w:jc w:val="right"/>
              <w:rPr>
                <w:rFonts w:ascii="Calibri" w:eastAsia="Times New Roman" w:hAnsi="Calibri" w:cs="Calibri"/>
                <w:sz w:val="22"/>
                <w:szCs w:val="22"/>
                <w:lang w:val="en-CA" w:eastAsia="en-CA"/>
              </w:rPr>
            </w:pPr>
          </w:p>
        </w:tc>
      </w:tr>
      <w:tr w:rsidR="00C002FE" w:rsidRPr="00C002FE" w14:paraId="10FBA593" w14:textId="77777777" w:rsidTr="00EF4766">
        <w:trPr>
          <w:trHeight w:val="300"/>
        </w:trPr>
        <w:tc>
          <w:tcPr>
            <w:tcW w:w="4540" w:type="dxa"/>
            <w:noWrap/>
            <w:hideMark/>
          </w:tcPr>
          <w:p w14:paraId="75BBB54F" w14:textId="3D02EFFD" w:rsidR="00C002FE" w:rsidRPr="00C002FE" w:rsidRDefault="00F62BA8" w:rsidP="00C002FE">
            <w:pPr>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 xml:space="preserve">Land Based Learning </w:t>
            </w:r>
          </w:p>
        </w:tc>
        <w:tc>
          <w:tcPr>
            <w:tcW w:w="1480" w:type="dxa"/>
            <w:noWrap/>
            <w:hideMark/>
          </w:tcPr>
          <w:p w14:paraId="3D2792E2" w14:textId="6897D20F" w:rsidR="00C002FE" w:rsidRPr="00C002FE" w:rsidRDefault="00F62BA8" w:rsidP="00C002FE">
            <w:pPr>
              <w:jc w:val="right"/>
              <w:rPr>
                <w:rFonts w:ascii="Calibri" w:eastAsia="Times New Roman" w:hAnsi="Calibri" w:cs="Calibri"/>
                <w:sz w:val="22"/>
                <w:szCs w:val="22"/>
                <w:lang w:val="en-CA" w:eastAsia="en-CA"/>
              </w:rPr>
            </w:pPr>
            <w:r>
              <w:rPr>
                <w:rFonts w:ascii="Calibri" w:eastAsia="Times New Roman" w:hAnsi="Calibri" w:cs="Calibri"/>
                <w:sz w:val="22"/>
                <w:szCs w:val="22"/>
                <w:lang w:val="en-CA" w:eastAsia="en-CA"/>
              </w:rPr>
              <w:t>9</w:t>
            </w:r>
            <w:r w:rsidR="00C002FE" w:rsidRPr="00C002FE">
              <w:rPr>
                <w:rFonts w:ascii="Calibri" w:eastAsia="Times New Roman" w:hAnsi="Calibri" w:cs="Calibri"/>
                <w:sz w:val="22"/>
                <w:szCs w:val="22"/>
                <w:lang w:val="en-CA" w:eastAsia="en-CA"/>
              </w:rPr>
              <w:t>5,000</w:t>
            </w:r>
          </w:p>
        </w:tc>
        <w:tc>
          <w:tcPr>
            <w:tcW w:w="1180" w:type="dxa"/>
            <w:noWrap/>
            <w:hideMark/>
          </w:tcPr>
          <w:p w14:paraId="323AB341" w14:textId="77777777" w:rsidR="00C002FE" w:rsidRPr="00C002FE" w:rsidRDefault="00C002FE" w:rsidP="00C002FE">
            <w:pPr>
              <w:jc w:val="right"/>
              <w:rPr>
                <w:rFonts w:ascii="Calibri" w:eastAsia="Times New Roman" w:hAnsi="Calibri" w:cs="Calibri"/>
                <w:sz w:val="22"/>
                <w:szCs w:val="22"/>
                <w:lang w:val="en-CA" w:eastAsia="en-CA"/>
              </w:rPr>
            </w:pPr>
          </w:p>
        </w:tc>
      </w:tr>
      <w:tr w:rsidR="008F3648" w:rsidRPr="00C002FE" w14:paraId="0903B0BC" w14:textId="77777777" w:rsidTr="00EF4766">
        <w:trPr>
          <w:trHeight w:val="300"/>
        </w:trPr>
        <w:tc>
          <w:tcPr>
            <w:tcW w:w="4540" w:type="dxa"/>
            <w:noWrap/>
          </w:tcPr>
          <w:p w14:paraId="360C4E33" w14:textId="44500748" w:rsidR="008F3648" w:rsidRDefault="00FE5535" w:rsidP="00C002FE">
            <w:pPr>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Literary Enhancements</w:t>
            </w:r>
          </w:p>
        </w:tc>
        <w:tc>
          <w:tcPr>
            <w:tcW w:w="1480" w:type="dxa"/>
            <w:noWrap/>
          </w:tcPr>
          <w:p w14:paraId="1120C3E3" w14:textId="61E0584C" w:rsidR="008F3648" w:rsidRDefault="00F44360" w:rsidP="00C002FE">
            <w:pPr>
              <w:jc w:val="right"/>
              <w:rPr>
                <w:rFonts w:ascii="Calibri" w:eastAsia="Times New Roman" w:hAnsi="Calibri" w:cs="Calibri"/>
                <w:sz w:val="22"/>
                <w:szCs w:val="22"/>
                <w:lang w:val="en-CA" w:eastAsia="en-CA"/>
              </w:rPr>
            </w:pPr>
            <w:r>
              <w:rPr>
                <w:rFonts w:ascii="Calibri" w:eastAsia="Times New Roman" w:hAnsi="Calibri" w:cs="Calibri"/>
                <w:sz w:val="22"/>
                <w:szCs w:val="22"/>
                <w:lang w:val="en-CA" w:eastAsia="en-CA"/>
              </w:rPr>
              <w:t>66</w:t>
            </w:r>
            <w:r w:rsidR="00757A2A">
              <w:rPr>
                <w:rFonts w:ascii="Calibri" w:eastAsia="Times New Roman" w:hAnsi="Calibri" w:cs="Calibri"/>
                <w:sz w:val="22"/>
                <w:szCs w:val="22"/>
                <w:lang w:val="en-CA" w:eastAsia="en-CA"/>
              </w:rPr>
              <w:t>,</w:t>
            </w:r>
            <w:r>
              <w:rPr>
                <w:rFonts w:ascii="Calibri" w:eastAsia="Times New Roman" w:hAnsi="Calibri" w:cs="Calibri"/>
                <w:sz w:val="22"/>
                <w:szCs w:val="22"/>
                <w:lang w:val="en-CA" w:eastAsia="en-CA"/>
              </w:rPr>
              <w:t>500</w:t>
            </w:r>
          </w:p>
        </w:tc>
        <w:tc>
          <w:tcPr>
            <w:tcW w:w="1180" w:type="dxa"/>
            <w:noWrap/>
          </w:tcPr>
          <w:p w14:paraId="31078846" w14:textId="77777777" w:rsidR="008F3648" w:rsidRPr="00C002FE" w:rsidRDefault="008F3648" w:rsidP="00C002FE">
            <w:pPr>
              <w:jc w:val="right"/>
              <w:rPr>
                <w:rFonts w:ascii="Calibri" w:eastAsia="Times New Roman" w:hAnsi="Calibri" w:cs="Calibri"/>
                <w:sz w:val="22"/>
                <w:szCs w:val="22"/>
                <w:lang w:val="en-CA" w:eastAsia="en-CA"/>
              </w:rPr>
            </w:pPr>
          </w:p>
        </w:tc>
      </w:tr>
      <w:tr w:rsidR="008F3648" w:rsidRPr="00C002FE" w14:paraId="1387D53A" w14:textId="77777777" w:rsidTr="00EF4766">
        <w:trPr>
          <w:trHeight w:val="300"/>
        </w:trPr>
        <w:tc>
          <w:tcPr>
            <w:tcW w:w="4540" w:type="dxa"/>
            <w:noWrap/>
          </w:tcPr>
          <w:p w14:paraId="7B97E350" w14:textId="289A62DC" w:rsidR="008F3648" w:rsidRDefault="008F3648" w:rsidP="00C002FE">
            <w:pPr>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 xml:space="preserve">Facility Updates </w:t>
            </w:r>
            <w:r w:rsidR="007A50C9">
              <w:rPr>
                <w:rFonts w:ascii="Calibri" w:eastAsia="Times New Roman" w:hAnsi="Calibri" w:cs="Calibri"/>
                <w:color w:val="000000"/>
                <w:sz w:val="22"/>
                <w:szCs w:val="22"/>
                <w:lang w:val="en-CA" w:eastAsia="en-CA"/>
              </w:rPr>
              <w:t>(Mesz, School Libraries)</w:t>
            </w:r>
          </w:p>
        </w:tc>
        <w:tc>
          <w:tcPr>
            <w:tcW w:w="1480" w:type="dxa"/>
            <w:noWrap/>
          </w:tcPr>
          <w:p w14:paraId="0CF869EE" w14:textId="76A833A6" w:rsidR="008F3648" w:rsidRDefault="007A50C9" w:rsidP="00C002FE">
            <w:pPr>
              <w:jc w:val="right"/>
              <w:rPr>
                <w:rFonts w:ascii="Calibri" w:eastAsia="Times New Roman" w:hAnsi="Calibri" w:cs="Calibri"/>
                <w:sz w:val="22"/>
                <w:szCs w:val="22"/>
                <w:lang w:val="en-CA" w:eastAsia="en-CA"/>
              </w:rPr>
            </w:pPr>
            <w:r>
              <w:rPr>
                <w:rFonts w:ascii="Calibri" w:eastAsia="Times New Roman" w:hAnsi="Calibri" w:cs="Calibri"/>
                <w:sz w:val="22"/>
                <w:szCs w:val="22"/>
                <w:lang w:val="en-CA" w:eastAsia="en-CA"/>
              </w:rPr>
              <w:t>105</w:t>
            </w:r>
            <w:r w:rsidR="00757A2A">
              <w:rPr>
                <w:rFonts w:ascii="Calibri" w:eastAsia="Times New Roman" w:hAnsi="Calibri" w:cs="Calibri"/>
                <w:sz w:val="22"/>
                <w:szCs w:val="22"/>
                <w:lang w:val="en-CA" w:eastAsia="en-CA"/>
              </w:rPr>
              <w:t>,</w:t>
            </w:r>
            <w:r w:rsidR="00FE5535">
              <w:rPr>
                <w:rFonts w:ascii="Calibri" w:eastAsia="Times New Roman" w:hAnsi="Calibri" w:cs="Calibri"/>
                <w:sz w:val="22"/>
                <w:szCs w:val="22"/>
                <w:lang w:val="en-CA" w:eastAsia="en-CA"/>
              </w:rPr>
              <w:t>000</w:t>
            </w:r>
          </w:p>
        </w:tc>
        <w:tc>
          <w:tcPr>
            <w:tcW w:w="1180" w:type="dxa"/>
            <w:noWrap/>
          </w:tcPr>
          <w:p w14:paraId="3104784C" w14:textId="77777777" w:rsidR="008F3648" w:rsidRPr="00C002FE" w:rsidRDefault="008F3648" w:rsidP="00C002FE">
            <w:pPr>
              <w:jc w:val="right"/>
              <w:rPr>
                <w:rFonts w:ascii="Calibri" w:eastAsia="Times New Roman" w:hAnsi="Calibri" w:cs="Calibri"/>
                <w:sz w:val="22"/>
                <w:szCs w:val="22"/>
                <w:lang w:val="en-CA" w:eastAsia="en-CA"/>
              </w:rPr>
            </w:pPr>
          </w:p>
        </w:tc>
      </w:tr>
      <w:tr w:rsidR="00F44360" w:rsidRPr="00C002FE" w14:paraId="2590B2E3" w14:textId="77777777" w:rsidTr="00EF4766">
        <w:trPr>
          <w:trHeight w:val="300"/>
        </w:trPr>
        <w:tc>
          <w:tcPr>
            <w:tcW w:w="4540" w:type="dxa"/>
            <w:noWrap/>
          </w:tcPr>
          <w:p w14:paraId="0E2A87DA" w14:textId="452BDBFF" w:rsidR="00F44360" w:rsidRDefault="00F44360" w:rsidP="00C002FE">
            <w:pPr>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Data and system enhancements</w:t>
            </w:r>
          </w:p>
        </w:tc>
        <w:tc>
          <w:tcPr>
            <w:tcW w:w="1480" w:type="dxa"/>
            <w:noWrap/>
          </w:tcPr>
          <w:p w14:paraId="10AA7FA1" w14:textId="2DD2518E" w:rsidR="00F44360" w:rsidRDefault="00F44360" w:rsidP="00C002FE">
            <w:pPr>
              <w:jc w:val="right"/>
              <w:rPr>
                <w:rFonts w:ascii="Calibri" w:eastAsia="Times New Roman" w:hAnsi="Calibri" w:cs="Calibri"/>
                <w:sz w:val="22"/>
                <w:szCs w:val="22"/>
                <w:lang w:val="en-CA" w:eastAsia="en-CA"/>
              </w:rPr>
            </w:pPr>
            <w:r>
              <w:rPr>
                <w:rFonts w:ascii="Calibri" w:eastAsia="Times New Roman" w:hAnsi="Calibri" w:cs="Calibri"/>
                <w:sz w:val="22"/>
                <w:szCs w:val="22"/>
                <w:lang w:val="en-CA" w:eastAsia="en-CA"/>
              </w:rPr>
              <w:t>33</w:t>
            </w:r>
            <w:r w:rsidR="00757A2A">
              <w:rPr>
                <w:rFonts w:ascii="Calibri" w:eastAsia="Times New Roman" w:hAnsi="Calibri" w:cs="Calibri"/>
                <w:sz w:val="22"/>
                <w:szCs w:val="22"/>
                <w:lang w:val="en-CA" w:eastAsia="en-CA"/>
              </w:rPr>
              <w:t>,</w:t>
            </w:r>
            <w:r>
              <w:rPr>
                <w:rFonts w:ascii="Calibri" w:eastAsia="Times New Roman" w:hAnsi="Calibri" w:cs="Calibri"/>
                <w:sz w:val="22"/>
                <w:szCs w:val="22"/>
                <w:lang w:val="en-CA" w:eastAsia="en-CA"/>
              </w:rPr>
              <w:t>500</w:t>
            </w:r>
          </w:p>
        </w:tc>
        <w:tc>
          <w:tcPr>
            <w:tcW w:w="1180" w:type="dxa"/>
            <w:noWrap/>
          </w:tcPr>
          <w:p w14:paraId="77EEF743" w14:textId="77777777" w:rsidR="00F44360" w:rsidRPr="00C002FE" w:rsidRDefault="00F44360" w:rsidP="00C002FE">
            <w:pPr>
              <w:jc w:val="right"/>
              <w:rPr>
                <w:rFonts w:ascii="Calibri" w:eastAsia="Times New Roman" w:hAnsi="Calibri" w:cs="Calibri"/>
                <w:sz w:val="22"/>
                <w:szCs w:val="22"/>
                <w:lang w:val="en-CA" w:eastAsia="en-CA"/>
              </w:rPr>
            </w:pPr>
          </w:p>
        </w:tc>
      </w:tr>
      <w:tr w:rsidR="00F44360" w:rsidRPr="00C002FE" w14:paraId="587BAEDB" w14:textId="77777777" w:rsidTr="00EF4766">
        <w:trPr>
          <w:trHeight w:val="300"/>
        </w:trPr>
        <w:tc>
          <w:tcPr>
            <w:tcW w:w="4540" w:type="dxa"/>
            <w:noWrap/>
          </w:tcPr>
          <w:p w14:paraId="68A288E9" w14:textId="13A65BFE" w:rsidR="00F44360" w:rsidRDefault="00B5499E" w:rsidP="00C002FE">
            <w:pPr>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 xml:space="preserve">Recruitment and Retention </w:t>
            </w:r>
          </w:p>
        </w:tc>
        <w:tc>
          <w:tcPr>
            <w:tcW w:w="1480" w:type="dxa"/>
            <w:noWrap/>
          </w:tcPr>
          <w:p w14:paraId="3E6B4B94" w14:textId="788F7DF0" w:rsidR="00F44360" w:rsidRDefault="00B5499E" w:rsidP="00C002FE">
            <w:pPr>
              <w:jc w:val="right"/>
              <w:rPr>
                <w:rFonts w:ascii="Calibri" w:eastAsia="Times New Roman" w:hAnsi="Calibri" w:cs="Calibri"/>
                <w:sz w:val="22"/>
                <w:szCs w:val="22"/>
                <w:lang w:val="en-CA" w:eastAsia="en-CA"/>
              </w:rPr>
            </w:pPr>
            <w:r>
              <w:rPr>
                <w:rFonts w:ascii="Calibri" w:eastAsia="Times New Roman" w:hAnsi="Calibri" w:cs="Calibri"/>
                <w:sz w:val="22"/>
                <w:szCs w:val="22"/>
                <w:lang w:val="en-CA" w:eastAsia="en-CA"/>
              </w:rPr>
              <w:t>20</w:t>
            </w:r>
            <w:r w:rsidR="00757A2A">
              <w:rPr>
                <w:rFonts w:ascii="Calibri" w:eastAsia="Times New Roman" w:hAnsi="Calibri" w:cs="Calibri"/>
                <w:sz w:val="22"/>
                <w:szCs w:val="22"/>
                <w:lang w:val="en-CA" w:eastAsia="en-CA"/>
              </w:rPr>
              <w:t>,</w:t>
            </w:r>
            <w:r>
              <w:rPr>
                <w:rFonts w:ascii="Calibri" w:eastAsia="Times New Roman" w:hAnsi="Calibri" w:cs="Calibri"/>
                <w:sz w:val="22"/>
                <w:szCs w:val="22"/>
                <w:lang w:val="en-CA" w:eastAsia="en-CA"/>
              </w:rPr>
              <w:t>000</w:t>
            </w:r>
          </w:p>
        </w:tc>
        <w:tc>
          <w:tcPr>
            <w:tcW w:w="1180" w:type="dxa"/>
            <w:noWrap/>
          </w:tcPr>
          <w:p w14:paraId="353F4D0D" w14:textId="77777777" w:rsidR="00F44360" w:rsidRPr="00C002FE" w:rsidRDefault="00F44360" w:rsidP="00C002FE">
            <w:pPr>
              <w:jc w:val="right"/>
              <w:rPr>
                <w:rFonts w:ascii="Calibri" w:eastAsia="Times New Roman" w:hAnsi="Calibri" w:cs="Calibri"/>
                <w:sz w:val="22"/>
                <w:szCs w:val="22"/>
                <w:lang w:val="en-CA" w:eastAsia="en-CA"/>
              </w:rPr>
            </w:pPr>
          </w:p>
        </w:tc>
      </w:tr>
      <w:tr w:rsidR="00B5499E" w:rsidRPr="00C002FE" w14:paraId="641AC944" w14:textId="77777777" w:rsidTr="00EF4766">
        <w:trPr>
          <w:trHeight w:val="300"/>
        </w:trPr>
        <w:tc>
          <w:tcPr>
            <w:tcW w:w="4540" w:type="dxa"/>
            <w:noWrap/>
          </w:tcPr>
          <w:p w14:paraId="774FC0B8" w14:textId="308278DC" w:rsidR="00B5499E" w:rsidRDefault="00B5499E" w:rsidP="00C002FE">
            <w:pPr>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lastRenderedPageBreak/>
              <w:t xml:space="preserve">Education </w:t>
            </w:r>
            <w:r w:rsidR="00F278B2">
              <w:rPr>
                <w:rFonts w:ascii="Calibri" w:eastAsia="Times New Roman" w:hAnsi="Calibri" w:cs="Calibri"/>
                <w:color w:val="000000"/>
                <w:sz w:val="22"/>
                <w:szCs w:val="22"/>
                <w:lang w:val="en-CA" w:eastAsia="en-CA"/>
              </w:rPr>
              <w:t xml:space="preserve">Innovation/Data Resource Position </w:t>
            </w:r>
          </w:p>
        </w:tc>
        <w:tc>
          <w:tcPr>
            <w:tcW w:w="1480" w:type="dxa"/>
            <w:noWrap/>
          </w:tcPr>
          <w:p w14:paraId="49A14EC6" w14:textId="33DF59B9" w:rsidR="00B5499E" w:rsidRDefault="00F278B2" w:rsidP="00C002FE">
            <w:pPr>
              <w:jc w:val="right"/>
              <w:rPr>
                <w:rFonts w:ascii="Calibri" w:eastAsia="Times New Roman" w:hAnsi="Calibri" w:cs="Calibri"/>
                <w:sz w:val="22"/>
                <w:szCs w:val="22"/>
                <w:lang w:val="en-CA" w:eastAsia="en-CA"/>
              </w:rPr>
            </w:pPr>
            <w:r>
              <w:rPr>
                <w:rFonts w:ascii="Calibri" w:eastAsia="Times New Roman" w:hAnsi="Calibri" w:cs="Calibri"/>
                <w:sz w:val="22"/>
                <w:szCs w:val="22"/>
                <w:lang w:val="en-CA" w:eastAsia="en-CA"/>
              </w:rPr>
              <w:t>150</w:t>
            </w:r>
            <w:r w:rsidR="00757A2A">
              <w:rPr>
                <w:rFonts w:ascii="Calibri" w:eastAsia="Times New Roman" w:hAnsi="Calibri" w:cs="Calibri"/>
                <w:sz w:val="22"/>
                <w:szCs w:val="22"/>
                <w:lang w:val="en-CA" w:eastAsia="en-CA"/>
              </w:rPr>
              <w:t>,</w:t>
            </w:r>
            <w:r>
              <w:rPr>
                <w:rFonts w:ascii="Calibri" w:eastAsia="Times New Roman" w:hAnsi="Calibri" w:cs="Calibri"/>
                <w:sz w:val="22"/>
                <w:szCs w:val="22"/>
                <w:lang w:val="en-CA" w:eastAsia="en-CA"/>
              </w:rPr>
              <w:t>000</w:t>
            </w:r>
          </w:p>
        </w:tc>
        <w:tc>
          <w:tcPr>
            <w:tcW w:w="1180" w:type="dxa"/>
            <w:noWrap/>
          </w:tcPr>
          <w:p w14:paraId="4C57EC8D" w14:textId="77777777" w:rsidR="00B5499E" w:rsidRPr="00C002FE" w:rsidRDefault="00B5499E" w:rsidP="00C002FE">
            <w:pPr>
              <w:jc w:val="right"/>
              <w:rPr>
                <w:rFonts w:ascii="Calibri" w:eastAsia="Times New Roman" w:hAnsi="Calibri" w:cs="Calibri"/>
                <w:sz w:val="22"/>
                <w:szCs w:val="22"/>
                <w:lang w:val="en-CA" w:eastAsia="en-CA"/>
              </w:rPr>
            </w:pPr>
          </w:p>
        </w:tc>
      </w:tr>
      <w:tr w:rsidR="00F278B2" w:rsidRPr="00C002FE" w14:paraId="4B8A6D37" w14:textId="77777777" w:rsidTr="00EF4766">
        <w:trPr>
          <w:trHeight w:val="300"/>
        </w:trPr>
        <w:tc>
          <w:tcPr>
            <w:tcW w:w="4540" w:type="dxa"/>
            <w:noWrap/>
          </w:tcPr>
          <w:p w14:paraId="5FB37090" w14:textId="14C228A0" w:rsidR="00F278B2" w:rsidRDefault="00F278B2" w:rsidP="00C002FE">
            <w:pPr>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Communication Strategy</w:t>
            </w:r>
          </w:p>
        </w:tc>
        <w:tc>
          <w:tcPr>
            <w:tcW w:w="1480" w:type="dxa"/>
            <w:noWrap/>
          </w:tcPr>
          <w:p w14:paraId="01F22067" w14:textId="1A81D9AA" w:rsidR="00F278B2" w:rsidRDefault="00F16B55" w:rsidP="00C002FE">
            <w:pPr>
              <w:jc w:val="right"/>
              <w:rPr>
                <w:rFonts w:ascii="Calibri" w:eastAsia="Times New Roman" w:hAnsi="Calibri" w:cs="Calibri"/>
                <w:sz w:val="22"/>
                <w:szCs w:val="22"/>
                <w:lang w:val="en-CA" w:eastAsia="en-CA"/>
              </w:rPr>
            </w:pPr>
            <w:r>
              <w:rPr>
                <w:rFonts w:ascii="Calibri" w:eastAsia="Times New Roman" w:hAnsi="Calibri" w:cs="Calibri"/>
                <w:sz w:val="22"/>
                <w:szCs w:val="22"/>
                <w:lang w:val="en-CA" w:eastAsia="en-CA"/>
              </w:rPr>
              <w:t>15</w:t>
            </w:r>
            <w:r w:rsidR="00757A2A">
              <w:rPr>
                <w:rFonts w:ascii="Calibri" w:eastAsia="Times New Roman" w:hAnsi="Calibri" w:cs="Calibri"/>
                <w:sz w:val="22"/>
                <w:szCs w:val="22"/>
                <w:lang w:val="en-CA" w:eastAsia="en-CA"/>
              </w:rPr>
              <w:t>,</w:t>
            </w:r>
            <w:r>
              <w:rPr>
                <w:rFonts w:ascii="Calibri" w:eastAsia="Times New Roman" w:hAnsi="Calibri" w:cs="Calibri"/>
                <w:sz w:val="22"/>
                <w:szCs w:val="22"/>
                <w:lang w:val="en-CA" w:eastAsia="en-CA"/>
              </w:rPr>
              <w:t>000</w:t>
            </w:r>
          </w:p>
        </w:tc>
        <w:tc>
          <w:tcPr>
            <w:tcW w:w="1180" w:type="dxa"/>
            <w:noWrap/>
          </w:tcPr>
          <w:p w14:paraId="40D1CBF6" w14:textId="77777777" w:rsidR="00F278B2" w:rsidRPr="00C002FE" w:rsidRDefault="00F278B2" w:rsidP="00C002FE">
            <w:pPr>
              <w:jc w:val="right"/>
              <w:rPr>
                <w:rFonts w:ascii="Calibri" w:eastAsia="Times New Roman" w:hAnsi="Calibri" w:cs="Calibri"/>
                <w:sz w:val="22"/>
                <w:szCs w:val="22"/>
                <w:lang w:val="en-CA" w:eastAsia="en-CA"/>
              </w:rPr>
            </w:pPr>
          </w:p>
        </w:tc>
      </w:tr>
      <w:tr w:rsidR="00F16B55" w:rsidRPr="00C002FE" w14:paraId="61B26384" w14:textId="77777777" w:rsidTr="00EF4766">
        <w:trPr>
          <w:trHeight w:val="300"/>
        </w:trPr>
        <w:tc>
          <w:tcPr>
            <w:tcW w:w="4540" w:type="dxa"/>
            <w:noWrap/>
          </w:tcPr>
          <w:p w14:paraId="71D4BC89" w14:textId="406F3E9E" w:rsidR="00F16B55" w:rsidRDefault="00F16B55" w:rsidP="00C002FE">
            <w:pPr>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Leadership Development/Administrators</w:t>
            </w:r>
          </w:p>
        </w:tc>
        <w:tc>
          <w:tcPr>
            <w:tcW w:w="1480" w:type="dxa"/>
            <w:noWrap/>
          </w:tcPr>
          <w:p w14:paraId="0951BE8C" w14:textId="0287FEDE" w:rsidR="00F16B55" w:rsidRDefault="00F16B55" w:rsidP="00C002FE">
            <w:pPr>
              <w:jc w:val="right"/>
              <w:rPr>
                <w:rFonts w:ascii="Calibri" w:eastAsia="Times New Roman" w:hAnsi="Calibri" w:cs="Calibri"/>
                <w:sz w:val="22"/>
                <w:szCs w:val="22"/>
                <w:lang w:val="en-CA" w:eastAsia="en-CA"/>
              </w:rPr>
            </w:pPr>
            <w:r>
              <w:rPr>
                <w:rFonts w:ascii="Calibri" w:eastAsia="Times New Roman" w:hAnsi="Calibri" w:cs="Calibri"/>
                <w:sz w:val="22"/>
                <w:szCs w:val="22"/>
                <w:lang w:val="en-CA" w:eastAsia="en-CA"/>
              </w:rPr>
              <w:t>20</w:t>
            </w:r>
            <w:r w:rsidR="00757A2A">
              <w:rPr>
                <w:rFonts w:ascii="Calibri" w:eastAsia="Times New Roman" w:hAnsi="Calibri" w:cs="Calibri"/>
                <w:sz w:val="22"/>
                <w:szCs w:val="22"/>
                <w:lang w:val="en-CA" w:eastAsia="en-CA"/>
              </w:rPr>
              <w:t>,</w:t>
            </w:r>
            <w:r>
              <w:rPr>
                <w:rFonts w:ascii="Calibri" w:eastAsia="Times New Roman" w:hAnsi="Calibri" w:cs="Calibri"/>
                <w:sz w:val="22"/>
                <w:szCs w:val="22"/>
                <w:lang w:val="en-CA" w:eastAsia="en-CA"/>
              </w:rPr>
              <w:t>000</w:t>
            </w:r>
          </w:p>
        </w:tc>
        <w:tc>
          <w:tcPr>
            <w:tcW w:w="1180" w:type="dxa"/>
            <w:noWrap/>
          </w:tcPr>
          <w:p w14:paraId="2007AE31" w14:textId="77777777" w:rsidR="00F16B55" w:rsidRPr="00C002FE" w:rsidRDefault="00F16B55" w:rsidP="00C002FE">
            <w:pPr>
              <w:jc w:val="right"/>
              <w:rPr>
                <w:rFonts w:ascii="Calibri" w:eastAsia="Times New Roman" w:hAnsi="Calibri" w:cs="Calibri"/>
                <w:sz w:val="22"/>
                <w:szCs w:val="22"/>
                <w:lang w:val="en-CA" w:eastAsia="en-CA"/>
              </w:rPr>
            </w:pPr>
          </w:p>
        </w:tc>
      </w:tr>
      <w:tr w:rsidR="00C002FE" w:rsidRPr="00C002FE" w14:paraId="18B14375" w14:textId="77777777" w:rsidTr="00EF4766">
        <w:trPr>
          <w:trHeight w:val="300"/>
        </w:trPr>
        <w:tc>
          <w:tcPr>
            <w:tcW w:w="4540" w:type="dxa"/>
            <w:noWrap/>
            <w:hideMark/>
          </w:tcPr>
          <w:p w14:paraId="210BAD87" w14:textId="77777777"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Open Purchase Orders</w:t>
            </w:r>
          </w:p>
        </w:tc>
        <w:tc>
          <w:tcPr>
            <w:tcW w:w="1480" w:type="dxa"/>
            <w:noWrap/>
            <w:hideMark/>
          </w:tcPr>
          <w:p w14:paraId="580CE590" w14:textId="77777777" w:rsidR="00C002FE" w:rsidRPr="00C002FE" w:rsidRDefault="00C002FE" w:rsidP="00C002FE">
            <w:pPr>
              <w:jc w:val="right"/>
              <w:rPr>
                <w:rFonts w:ascii="Calibri" w:eastAsia="Times New Roman" w:hAnsi="Calibri" w:cs="Calibri"/>
                <w:sz w:val="22"/>
                <w:szCs w:val="22"/>
                <w:lang w:val="en-CA" w:eastAsia="en-CA"/>
              </w:rPr>
            </w:pPr>
            <w:r w:rsidRPr="00C002FE">
              <w:rPr>
                <w:rFonts w:ascii="Calibri" w:eastAsia="Times New Roman" w:hAnsi="Calibri" w:cs="Calibri"/>
                <w:sz w:val="22"/>
                <w:szCs w:val="22"/>
                <w:lang w:val="en-CA" w:eastAsia="en-CA"/>
              </w:rPr>
              <w:t>37,635</w:t>
            </w:r>
          </w:p>
        </w:tc>
        <w:tc>
          <w:tcPr>
            <w:tcW w:w="1180" w:type="dxa"/>
            <w:noWrap/>
            <w:hideMark/>
          </w:tcPr>
          <w:p w14:paraId="01CFB722" w14:textId="77777777" w:rsidR="00C002FE" w:rsidRPr="00C002FE" w:rsidRDefault="00C002FE" w:rsidP="00C002FE">
            <w:pPr>
              <w:jc w:val="right"/>
              <w:rPr>
                <w:rFonts w:ascii="Calibri" w:eastAsia="Times New Roman" w:hAnsi="Calibri" w:cs="Calibri"/>
                <w:sz w:val="22"/>
                <w:szCs w:val="22"/>
                <w:lang w:val="en-CA" w:eastAsia="en-CA"/>
              </w:rPr>
            </w:pPr>
          </w:p>
        </w:tc>
      </w:tr>
      <w:tr w:rsidR="00C002FE" w:rsidRPr="00C002FE" w14:paraId="55398E9B" w14:textId="77777777" w:rsidTr="00EF4766">
        <w:trPr>
          <w:trHeight w:val="300"/>
        </w:trPr>
        <w:tc>
          <w:tcPr>
            <w:tcW w:w="4540" w:type="dxa"/>
            <w:noWrap/>
            <w:hideMark/>
          </w:tcPr>
          <w:p w14:paraId="6375AA82" w14:textId="77777777"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 xml:space="preserve">     Sub-Total Internally Restricted</w:t>
            </w:r>
          </w:p>
        </w:tc>
        <w:tc>
          <w:tcPr>
            <w:tcW w:w="1480" w:type="dxa"/>
            <w:noWrap/>
            <w:hideMark/>
          </w:tcPr>
          <w:p w14:paraId="341B2740" w14:textId="77777777" w:rsidR="00C002FE" w:rsidRPr="00C002FE" w:rsidRDefault="00C002FE" w:rsidP="00C002FE">
            <w:pPr>
              <w:jc w:val="right"/>
              <w:rPr>
                <w:rFonts w:ascii="Calibri" w:eastAsia="Times New Roman" w:hAnsi="Calibri" w:cs="Calibri"/>
                <w:sz w:val="22"/>
                <w:szCs w:val="22"/>
                <w:lang w:val="en-CA" w:eastAsia="en-CA"/>
              </w:rPr>
            </w:pPr>
            <w:r w:rsidRPr="00C002FE">
              <w:rPr>
                <w:rFonts w:ascii="Calibri" w:eastAsia="Times New Roman" w:hAnsi="Calibri" w:cs="Calibri"/>
                <w:sz w:val="22"/>
                <w:szCs w:val="22"/>
                <w:lang w:val="en-CA" w:eastAsia="en-CA"/>
              </w:rPr>
              <w:t>1,542,635</w:t>
            </w:r>
          </w:p>
        </w:tc>
        <w:tc>
          <w:tcPr>
            <w:tcW w:w="1180" w:type="dxa"/>
            <w:noWrap/>
            <w:hideMark/>
          </w:tcPr>
          <w:p w14:paraId="10BD9CEB" w14:textId="77777777" w:rsidR="00C002FE" w:rsidRPr="00C002FE" w:rsidRDefault="00C002FE" w:rsidP="00C002FE">
            <w:pPr>
              <w:jc w:val="right"/>
              <w:rPr>
                <w:rFonts w:ascii="Calibri" w:eastAsia="Times New Roman" w:hAnsi="Calibri" w:cs="Calibri"/>
                <w:sz w:val="22"/>
                <w:szCs w:val="22"/>
                <w:lang w:val="en-CA" w:eastAsia="en-CA"/>
              </w:rPr>
            </w:pPr>
          </w:p>
        </w:tc>
      </w:tr>
      <w:tr w:rsidR="00C002FE" w:rsidRPr="00C002FE" w14:paraId="268D3A45" w14:textId="77777777" w:rsidTr="00EF4766">
        <w:trPr>
          <w:trHeight w:val="300"/>
        </w:trPr>
        <w:tc>
          <w:tcPr>
            <w:tcW w:w="4540" w:type="dxa"/>
            <w:noWrap/>
            <w:hideMark/>
          </w:tcPr>
          <w:p w14:paraId="1C20A2BB" w14:textId="77777777"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Unrestricted Operating Surplus</w:t>
            </w:r>
          </w:p>
        </w:tc>
        <w:tc>
          <w:tcPr>
            <w:tcW w:w="1480" w:type="dxa"/>
            <w:noWrap/>
            <w:hideMark/>
          </w:tcPr>
          <w:p w14:paraId="2B0FB248" w14:textId="77777777" w:rsidR="00C002FE" w:rsidRPr="00C002FE" w:rsidRDefault="00C002FE" w:rsidP="00C002FE">
            <w:pPr>
              <w:jc w:val="right"/>
              <w:rPr>
                <w:rFonts w:ascii="Calibri" w:eastAsia="Times New Roman" w:hAnsi="Calibri" w:cs="Calibri"/>
                <w:sz w:val="22"/>
                <w:szCs w:val="22"/>
                <w:lang w:val="en-CA" w:eastAsia="en-CA"/>
              </w:rPr>
            </w:pPr>
            <w:r w:rsidRPr="00C002FE">
              <w:rPr>
                <w:rFonts w:ascii="Calibri" w:eastAsia="Times New Roman" w:hAnsi="Calibri" w:cs="Calibri"/>
                <w:sz w:val="22"/>
                <w:szCs w:val="22"/>
                <w:lang w:val="en-CA" w:eastAsia="en-CA"/>
              </w:rPr>
              <w:t>1,586,268</w:t>
            </w:r>
          </w:p>
        </w:tc>
        <w:tc>
          <w:tcPr>
            <w:tcW w:w="1180" w:type="dxa"/>
            <w:noWrap/>
            <w:hideMark/>
          </w:tcPr>
          <w:p w14:paraId="14373F8A" w14:textId="77777777" w:rsidR="00C002FE" w:rsidRPr="00C002FE" w:rsidRDefault="00C002FE" w:rsidP="00C002FE">
            <w:pPr>
              <w:jc w:val="right"/>
              <w:rPr>
                <w:rFonts w:ascii="Calibri" w:eastAsia="Times New Roman" w:hAnsi="Calibri" w:cs="Calibri"/>
                <w:sz w:val="22"/>
                <w:szCs w:val="22"/>
                <w:lang w:val="en-CA" w:eastAsia="en-CA"/>
              </w:rPr>
            </w:pPr>
          </w:p>
        </w:tc>
      </w:tr>
      <w:tr w:rsidR="00C002FE" w:rsidRPr="00C002FE" w14:paraId="5F0FFD22" w14:textId="77777777" w:rsidTr="00EF4766">
        <w:trPr>
          <w:trHeight w:val="300"/>
        </w:trPr>
        <w:tc>
          <w:tcPr>
            <w:tcW w:w="4540" w:type="dxa"/>
            <w:noWrap/>
            <w:hideMark/>
          </w:tcPr>
          <w:p w14:paraId="13013832" w14:textId="77777777" w:rsidR="00C002FE" w:rsidRPr="00C002FE" w:rsidRDefault="00C002FE" w:rsidP="00C002FE">
            <w:pPr>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TOTAL Available for Future Operations</w:t>
            </w:r>
          </w:p>
        </w:tc>
        <w:tc>
          <w:tcPr>
            <w:tcW w:w="1480" w:type="dxa"/>
            <w:noWrap/>
            <w:hideMark/>
          </w:tcPr>
          <w:p w14:paraId="30D58273" w14:textId="77777777" w:rsidR="00C002FE" w:rsidRPr="00C002FE" w:rsidRDefault="00C002FE" w:rsidP="00C002FE">
            <w:pPr>
              <w:rPr>
                <w:rFonts w:ascii="Calibri" w:eastAsia="Times New Roman" w:hAnsi="Calibri" w:cs="Calibri"/>
                <w:color w:val="000000"/>
                <w:sz w:val="22"/>
                <w:szCs w:val="22"/>
                <w:lang w:val="en-CA" w:eastAsia="en-CA"/>
              </w:rPr>
            </w:pPr>
          </w:p>
        </w:tc>
        <w:tc>
          <w:tcPr>
            <w:tcW w:w="1180" w:type="dxa"/>
            <w:noWrap/>
            <w:hideMark/>
          </w:tcPr>
          <w:p w14:paraId="09FA36AB" w14:textId="77777777" w:rsidR="00C002FE" w:rsidRPr="00C002FE" w:rsidRDefault="00C002FE" w:rsidP="00C002FE">
            <w:pPr>
              <w:jc w:val="right"/>
              <w:rPr>
                <w:rFonts w:ascii="Calibri" w:eastAsia="Times New Roman" w:hAnsi="Calibri" w:cs="Calibri"/>
                <w:color w:val="000000"/>
                <w:sz w:val="22"/>
                <w:szCs w:val="22"/>
                <w:lang w:val="en-CA" w:eastAsia="en-CA"/>
              </w:rPr>
            </w:pPr>
            <w:r w:rsidRPr="00C002FE">
              <w:rPr>
                <w:rFonts w:ascii="Calibri" w:eastAsia="Times New Roman" w:hAnsi="Calibri" w:cs="Calibri"/>
                <w:color w:val="000000"/>
                <w:sz w:val="22"/>
                <w:szCs w:val="22"/>
                <w:lang w:val="en-CA" w:eastAsia="en-CA"/>
              </w:rPr>
              <w:t>$3,128,903</w:t>
            </w:r>
          </w:p>
        </w:tc>
      </w:tr>
    </w:tbl>
    <w:p w14:paraId="44A56EF4" w14:textId="036EF857" w:rsidR="005D49EB" w:rsidRDefault="00C002FE" w:rsidP="008D7AD5">
      <w:r>
        <w:rPr>
          <w:lang w:val="en-CA"/>
        </w:rPr>
        <w:fldChar w:fldCharType="end"/>
      </w:r>
      <w:r w:rsidR="006C2619">
        <w:rPr>
          <w:lang w:val="en-CA"/>
        </w:rPr>
        <w:fldChar w:fldCharType="begin"/>
      </w:r>
      <w:r w:rsidR="006C2619">
        <w:rPr>
          <w:lang w:val="en-CA"/>
        </w:rPr>
        <w:instrText xml:space="preserve"> LINK </w:instrText>
      </w:r>
      <w:r w:rsidR="005D49EB">
        <w:rPr>
          <w:lang w:val="en-CA"/>
        </w:rPr>
        <w:instrText xml:space="preserve">Excel.Sheet.12 "C:\\Users\\aunti\\OneDrive\\Desktop\\Bonnie Work\\Mentorship\\SD 92 Nisga'a\\SD92 - FS\\2022-23 FS\\2022-23 FSDA\\SD 92 Analysis Graphs 2022-23.xlsx" Operating!R81C1:R102C3 </w:instrText>
      </w:r>
      <w:r w:rsidR="006C2619">
        <w:rPr>
          <w:lang w:val="en-CA"/>
        </w:rPr>
        <w:instrText xml:space="preserve">\a \f 4 \h  \* MERGEFORMAT </w:instrText>
      </w:r>
      <w:r w:rsidR="006C2619">
        <w:rPr>
          <w:lang w:val="en-CA"/>
        </w:rPr>
        <w:fldChar w:fldCharType="separate"/>
      </w:r>
    </w:p>
    <w:p w14:paraId="523B4B2F" w14:textId="3E30C0D5" w:rsidR="00FD3508" w:rsidRDefault="006C2619" w:rsidP="008D7AD5">
      <w:pPr>
        <w:rPr>
          <w:lang w:val="en-CA"/>
        </w:rPr>
      </w:pPr>
      <w:r>
        <w:rPr>
          <w:lang w:val="en-CA"/>
        </w:rPr>
        <w:fldChar w:fldCharType="end"/>
      </w:r>
    </w:p>
    <w:p w14:paraId="0E3BB97E" w14:textId="56877FA3" w:rsidR="003C08A4" w:rsidRDefault="009B0D8C" w:rsidP="0094397A">
      <w:pPr>
        <w:pStyle w:val="Heading1"/>
        <w:jc w:val="left"/>
        <w:rPr>
          <w:sz w:val="32"/>
          <w:szCs w:val="32"/>
          <w:lang w:val="en-CA"/>
        </w:rPr>
      </w:pPr>
      <w:bookmarkStart w:id="22" w:name="_Toc51594537"/>
      <w:r w:rsidRPr="0094397A">
        <w:rPr>
          <w:sz w:val="32"/>
          <w:szCs w:val="32"/>
          <w:lang w:val="en-CA"/>
        </w:rPr>
        <w:t xml:space="preserve">SPECIAL PURPOSE FUND ANALYSIS </w:t>
      </w:r>
      <w:r w:rsidR="003C08A4" w:rsidRPr="0094397A">
        <w:rPr>
          <w:sz w:val="32"/>
          <w:szCs w:val="32"/>
          <w:lang w:val="en-CA"/>
        </w:rPr>
        <w:t>(Schedule 3 &amp; 3A)</w:t>
      </w:r>
      <w:bookmarkEnd w:id="22"/>
    </w:p>
    <w:p w14:paraId="79D3DBD2" w14:textId="77777777" w:rsidR="00C04F34" w:rsidRPr="00C04F34" w:rsidRDefault="00C04F34" w:rsidP="00C04F34">
      <w:pPr>
        <w:rPr>
          <w:lang w:val="en-CA"/>
        </w:rPr>
      </w:pPr>
    </w:p>
    <w:p w14:paraId="2447D4E4" w14:textId="27368758" w:rsidR="009155D4" w:rsidRDefault="009155D4">
      <w:pPr>
        <w:rPr>
          <w:lang w:val="en-CA"/>
        </w:rPr>
      </w:pPr>
      <w:r>
        <w:rPr>
          <w:lang w:val="en-CA"/>
        </w:rPr>
        <w:t xml:space="preserve">This fund shows amounts received for targeted programs such as annual facility grants, learning improvement funds, community links, </w:t>
      </w:r>
      <w:r w:rsidR="00A9233C">
        <w:rPr>
          <w:lang w:val="en-CA"/>
        </w:rPr>
        <w:t>CEF</w:t>
      </w:r>
      <w:r w:rsidR="007B31BB">
        <w:rPr>
          <w:lang w:val="en-CA"/>
        </w:rPr>
        <w:t>, FNESC Language/Culture programs</w:t>
      </w:r>
      <w:r w:rsidR="00E9713E">
        <w:rPr>
          <w:lang w:val="en-CA"/>
        </w:rPr>
        <w:t xml:space="preserve">, </w:t>
      </w:r>
      <w:r w:rsidR="006C2619">
        <w:rPr>
          <w:lang w:val="en-CA"/>
        </w:rPr>
        <w:t>Student &amp; Family Affordability</w:t>
      </w:r>
      <w:r w:rsidR="00C002FE">
        <w:rPr>
          <w:lang w:val="en-CA"/>
        </w:rPr>
        <w:t xml:space="preserve">, </w:t>
      </w:r>
      <w:r w:rsidR="006C2619">
        <w:rPr>
          <w:lang w:val="en-CA"/>
        </w:rPr>
        <w:t>Early Care Learning</w:t>
      </w:r>
      <w:r w:rsidR="00C002FE">
        <w:rPr>
          <w:lang w:val="en-CA"/>
        </w:rPr>
        <w:t xml:space="preserve"> and new this year, Feeding Futures program</w:t>
      </w:r>
      <w:r w:rsidR="00E9713E">
        <w:rPr>
          <w:lang w:val="en-CA"/>
        </w:rPr>
        <w:t xml:space="preserve">, </w:t>
      </w:r>
      <w:r>
        <w:rPr>
          <w:lang w:val="en-CA"/>
        </w:rPr>
        <w:t>amongst others.</w:t>
      </w:r>
      <w:r w:rsidR="007B31BB">
        <w:rPr>
          <w:lang w:val="en-CA"/>
        </w:rPr>
        <w:t xml:space="preserve">  Each special purpose fund must be accounted for in accordance with the terms of that fund.  </w:t>
      </w:r>
      <w:r>
        <w:rPr>
          <w:lang w:val="en-CA"/>
        </w:rPr>
        <w:t xml:space="preserve">  A deferral accounting approach is taken with revenues matched to expenses</w:t>
      </w:r>
      <w:r w:rsidR="007B31BB">
        <w:rPr>
          <w:lang w:val="en-CA"/>
        </w:rPr>
        <w:t xml:space="preserve"> thereby, showing neither a surplus nor a deficit</w:t>
      </w:r>
      <w:r>
        <w:rPr>
          <w:lang w:val="en-CA"/>
        </w:rPr>
        <w:t xml:space="preserve">.  </w:t>
      </w:r>
      <w:r w:rsidR="007B31BB">
        <w:rPr>
          <w:lang w:val="en-CA"/>
        </w:rPr>
        <w:t>All monies received are accounted for as contributions, any unspent funds at the end of the year will carry forward and recorded as “deferred contributions” and will not be recorded as surplus.</w:t>
      </w:r>
    </w:p>
    <w:p w14:paraId="50E4C543" w14:textId="797274AD" w:rsidR="00F132E2" w:rsidRDefault="005F4175">
      <w:pPr>
        <w:rPr>
          <w:lang w:val="en-CA"/>
        </w:rPr>
      </w:pPr>
      <w:r>
        <w:rPr>
          <w:noProof/>
          <w:lang w:val="en-CA"/>
        </w:rPr>
        <w:drawing>
          <wp:inline distT="0" distB="0" distL="0" distR="0" wp14:anchorId="273DB530" wp14:editId="641014C0">
            <wp:extent cx="5613400" cy="2705100"/>
            <wp:effectExtent l="0" t="0" r="6350" b="0"/>
            <wp:docPr id="1812342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098" cy="2707846"/>
                    </a:xfrm>
                    <a:prstGeom prst="rect">
                      <a:avLst/>
                    </a:prstGeom>
                    <a:noFill/>
                  </pic:spPr>
                </pic:pic>
              </a:graphicData>
            </a:graphic>
          </wp:inline>
        </w:drawing>
      </w:r>
    </w:p>
    <w:p w14:paraId="3D5A6B3A" w14:textId="77777777" w:rsidR="00F132E2" w:rsidRDefault="00F132E2">
      <w:pPr>
        <w:rPr>
          <w:lang w:val="en-CA"/>
        </w:rPr>
      </w:pPr>
    </w:p>
    <w:p w14:paraId="72BEF88E" w14:textId="41C3E890" w:rsidR="006F70B9" w:rsidRDefault="009155D4">
      <w:pPr>
        <w:rPr>
          <w:lang w:val="en-CA"/>
        </w:rPr>
      </w:pPr>
      <w:r>
        <w:rPr>
          <w:lang w:val="en-CA"/>
        </w:rPr>
        <w:t xml:space="preserve"> Actual s</w:t>
      </w:r>
      <w:r w:rsidR="00E97FA9">
        <w:rPr>
          <w:lang w:val="en-CA"/>
        </w:rPr>
        <w:t xml:space="preserve">pecial purpose </w:t>
      </w:r>
      <w:r w:rsidR="00904A4B">
        <w:rPr>
          <w:lang w:val="en-CA"/>
        </w:rPr>
        <w:t>contributions</w:t>
      </w:r>
      <w:r w:rsidR="00E97FA9">
        <w:rPr>
          <w:lang w:val="en-CA"/>
        </w:rPr>
        <w:t xml:space="preserve"> </w:t>
      </w:r>
      <w:r>
        <w:rPr>
          <w:lang w:val="en-CA"/>
        </w:rPr>
        <w:t xml:space="preserve">received </w:t>
      </w:r>
      <w:r w:rsidR="00904A4B">
        <w:rPr>
          <w:lang w:val="en-CA"/>
        </w:rPr>
        <w:t>were $</w:t>
      </w:r>
      <w:r w:rsidR="005F4175">
        <w:rPr>
          <w:lang w:val="en-CA"/>
        </w:rPr>
        <w:t>2,784,688</w:t>
      </w:r>
      <w:r w:rsidR="00164D21">
        <w:rPr>
          <w:lang w:val="en-CA"/>
        </w:rPr>
        <w:t>.</w:t>
      </w:r>
      <w:r>
        <w:rPr>
          <w:lang w:val="en-CA"/>
        </w:rPr>
        <w:t xml:space="preserve"> </w:t>
      </w:r>
      <w:r w:rsidR="005F4175">
        <w:rPr>
          <w:lang w:val="en-CA"/>
        </w:rPr>
        <w:t xml:space="preserve"> As indicated in the graph, the Ministry Contributed $1.89M but then recovered $1.57M noted in red, this recovery is normal and is covered by the Nisga’a Lisim Government as per their agreement with the District, which is part of the “Other Revenues”.  As the SPF accounts do not have surplus but do have Prior Years Deferred Revenue that is available for expenses, I have included it in this graph.  </w:t>
      </w:r>
      <w:r w:rsidR="00385DC6">
        <w:rPr>
          <w:lang w:val="en-CA"/>
        </w:rPr>
        <w:t>Funding for CEF</w:t>
      </w:r>
      <w:r w:rsidR="00904A4B">
        <w:rPr>
          <w:lang w:val="en-CA"/>
        </w:rPr>
        <w:t xml:space="preserve"> and the FNESC language/culture program both</w:t>
      </w:r>
      <w:r w:rsidR="00385DC6">
        <w:rPr>
          <w:lang w:val="en-CA"/>
        </w:rPr>
        <w:t xml:space="preserve"> continued in the </w:t>
      </w:r>
      <w:r w:rsidR="005F4175">
        <w:rPr>
          <w:lang w:val="en-CA"/>
        </w:rPr>
        <w:t>2023-24</w:t>
      </w:r>
      <w:r w:rsidR="00385DC6">
        <w:rPr>
          <w:lang w:val="en-CA"/>
        </w:rPr>
        <w:t xml:space="preserve"> year</w:t>
      </w:r>
      <w:r>
        <w:rPr>
          <w:lang w:val="en-CA"/>
        </w:rPr>
        <w:t>.</w:t>
      </w:r>
    </w:p>
    <w:p w14:paraId="6AFCF736" w14:textId="77777777" w:rsidR="00D255A5" w:rsidRDefault="00D255A5">
      <w:pPr>
        <w:rPr>
          <w:lang w:val="en-CA"/>
        </w:rPr>
      </w:pPr>
    </w:p>
    <w:p w14:paraId="300BF0D9" w14:textId="45876CDD" w:rsidR="00904A4B" w:rsidRDefault="005F4175">
      <w:pPr>
        <w:rPr>
          <w:lang w:val="en-CA"/>
        </w:rPr>
      </w:pPr>
      <w:r>
        <w:rPr>
          <w:lang w:val="en-CA"/>
        </w:rPr>
        <w:t xml:space="preserve">Within the current years funding, </w:t>
      </w:r>
      <w:r w:rsidR="00904A4B">
        <w:rPr>
          <w:lang w:val="en-CA"/>
        </w:rPr>
        <w:t xml:space="preserve">Other Revenue totaled </w:t>
      </w:r>
      <w:r w:rsidR="00CE2555">
        <w:rPr>
          <w:lang w:val="en-CA"/>
        </w:rPr>
        <w:t>86.1</w:t>
      </w:r>
      <w:r w:rsidR="00904A4B">
        <w:rPr>
          <w:lang w:val="en-CA"/>
        </w:rPr>
        <w:t>% of the contributions which are broken down further below</w:t>
      </w:r>
      <w:r w:rsidR="00CE2555">
        <w:rPr>
          <w:lang w:val="en-CA"/>
        </w:rPr>
        <w:t>:</w:t>
      </w:r>
    </w:p>
    <w:p w14:paraId="405E98F7" w14:textId="06689230" w:rsidR="00E21953" w:rsidRDefault="00E21953">
      <w:pPr>
        <w:rPr>
          <w:lang w:val="en-CA"/>
        </w:rPr>
      </w:pPr>
    </w:p>
    <w:p w14:paraId="54990905" w14:textId="7B70CADB" w:rsidR="00904A4B" w:rsidRDefault="00CE2555">
      <w:pPr>
        <w:rPr>
          <w:lang w:val="en-CA"/>
        </w:rPr>
      </w:pPr>
      <w:r>
        <w:rPr>
          <w:noProof/>
          <w:lang w:val="en-CA"/>
        </w:rPr>
        <w:drawing>
          <wp:inline distT="0" distB="0" distL="0" distR="0" wp14:anchorId="456A13B9" wp14:editId="47C26F15">
            <wp:extent cx="5295900" cy="3183408"/>
            <wp:effectExtent l="0" t="0" r="0" b="0"/>
            <wp:docPr id="5229349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2641" cy="3187460"/>
                    </a:xfrm>
                    <a:prstGeom prst="rect">
                      <a:avLst/>
                    </a:prstGeom>
                    <a:noFill/>
                  </pic:spPr>
                </pic:pic>
              </a:graphicData>
            </a:graphic>
          </wp:inline>
        </w:drawing>
      </w:r>
    </w:p>
    <w:p w14:paraId="335ADCC2" w14:textId="77777777" w:rsidR="00904A4B" w:rsidRDefault="00904A4B">
      <w:pPr>
        <w:rPr>
          <w:lang w:val="en-CA"/>
        </w:rPr>
      </w:pPr>
    </w:p>
    <w:p w14:paraId="710739EC" w14:textId="77777777" w:rsidR="00CE2555" w:rsidRDefault="009155D4">
      <w:pPr>
        <w:rPr>
          <w:lang w:val="en-CA"/>
        </w:rPr>
      </w:pPr>
      <w:r>
        <w:rPr>
          <w:lang w:val="en-CA"/>
        </w:rPr>
        <w:t xml:space="preserve">Total expenses </w:t>
      </w:r>
      <w:r w:rsidR="00385DC6">
        <w:rPr>
          <w:lang w:val="en-CA"/>
        </w:rPr>
        <w:t>were in line with funding received</w:t>
      </w:r>
      <w:r w:rsidR="00F132E2">
        <w:rPr>
          <w:lang w:val="en-CA"/>
        </w:rPr>
        <w:t xml:space="preserve"> and used for targeted purposes</w:t>
      </w:r>
      <w:r w:rsidR="00861855">
        <w:rPr>
          <w:lang w:val="en-CA"/>
        </w:rPr>
        <w:t xml:space="preserve">.  </w:t>
      </w:r>
    </w:p>
    <w:p w14:paraId="42D02444" w14:textId="77777777" w:rsidR="00CE2555" w:rsidRDefault="00CE2555">
      <w:pPr>
        <w:rPr>
          <w:lang w:val="en-CA"/>
        </w:rPr>
      </w:pPr>
    </w:p>
    <w:p w14:paraId="3863AF18" w14:textId="3D4608E6" w:rsidR="00E21953" w:rsidRDefault="00CE2555">
      <w:pPr>
        <w:rPr>
          <w:lang w:val="en-CA"/>
        </w:rPr>
      </w:pPr>
      <w:r>
        <w:rPr>
          <w:noProof/>
          <w:lang w:val="en-CA"/>
        </w:rPr>
        <w:lastRenderedPageBreak/>
        <w:drawing>
          <wp:inline distT="0" distB="0" distL="0" distR="0" wp14:anchorId="64F007D0" wp14:editId="15D91F03">
            <wp:extent cx="6124575" cy="3621405"/>
            <wp:effectExtent l="0" t="0" r="9525" b="0"/>
            <wp:docPr id="16787573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3621405"/>
                    </a:xfrm>
                    <a:prstGeom prst="rect">
                      <a:avLst/>
                    </a:prstGeom>
                    <a:noFill/>
                  </pic:spPr>
                </pic:pic>
              </a:graphicData>
            </a:graphic>
          </wp:inline>
        </w:drawing>
      </w:r>
    </w:p>
    <w:p w14:paraId="1BE4FC5D" w14:textId="77777777" w:rsidR="00CE2555" w:rsidRDefault="00CE2555">
      <w:pPr>
        <w:rPr>
          <w:lang w:val="en-CA"/>
        </w:rPr>
      </w:pPr>
    </w:p>
    <w:p w14:paraId="28AAABB8" w14:textId="71A3C065" w:rsidR="00FB5CAA" w:rsidRDefault="00F57271" w:rsidP="0094397A">
      <w:pPr>
        <w:pStyle w:val="Heading1"/>
        <w:jc w:val="left"/>
        <w:rPr>
          <w:sz w:val="32"/>
          <w:szCs w:val="32"/>
          <w:lang w:val="en-CA"/>
        </w:rPr>
      </w:pPr>
      <w:bookmarkStart w:id="23" w:name="_Toc51594538"/>
      <w:r w:rsidRPr="0094397A">
        <w:rPr>
          <w:sz w:val="32"/>
          <w:szCs w:val="32"/>
          <w:lang w:val="en-CA"/>
        </w:rPr>
        <w:t xml:space="preserve">CAPITAL FUND ANALYSIS </w:t>
      </w:r>
      <w:r w:rsidR="00FB5CAA" w:rsidRPr="0094397A">
        <w:rPr>
          <w:sz w:val="32"/>
          <w:szCs w:val="32"/>
          <w:lang w:val="en-CA"/>
        </w:rPr>
        <w:t>(Schedule 4 to 4 D)</w:t>
      </w:r>
      <w:bookmarkEnd w:id="23"/>
    </w:p>
    <w:p w14:paraId="75868867" w14:textId="77777777" w:rsidR="00E21953" w:rsidRPr="00E21953" w:rsidRDefault="00E21953" w:rsidP="00E21953">
      <w:pPr>
        <w:rPr>
          <w:lang w:val="en-CA"/>
        </w:rPr>
      </w:pPr>
    </w:p>
    <w:p w14:paraId="5F574BBE" w14:textId="2F766C2A" w:rsidR="00145A21" w:rsidRDefault="00044243" w:rsidP="00FB5CAA">
      <w:pPr>
        <w:rPr>
          <w:lang w:val="en-CA"/>
        </w:rPr>
      </w:pPr>
      <w:r w:rsidRPr="00F01B0A">
        <w:rPr>
          <w:lang w:val="en-CA"/>
        </w:rPr>
        <w:t xml:space="preserve">Capital fund revenues are a blend of cash and non-cash items.  The district received bylaw capital funding for projects as well as an annual facilities </w:t>
      </w:r>
      <w:r w:rsidR="00E21953">
        <w:rPr>
          <w:lang w:val="en-CA"/>
        </w:rPr>
        <w:t>grant</w:t>
      </w:r>
      <w:r w:rsidRPr="00F01B0A">
        <w:rPr>
          <w:lang w:val="en-CA"/>
        </w:rPr>
        <w:t xml:space="preserve"> of $</w:t>
      </w:r>
      <w:r w:rsidR="00CE2555">
        <w:rPr>
          <w:lang w:val="en-CA"/>
        </w:rPr>
        <w:t>2.5</w:t>
      </w:r>
      <w:r w:rsidR="00A9233C">
        <w:rPr>
          <w:lang w:val="en-CA"/>
        </w:rPr>
        <w:t>M</w:t>
      </w:r>
      <w:r w:rsidRPr="00F01B0A">
        <w:rPr>
          <w:lang w:val="en-CA"/>
        </w:rPr>
        <w:t>; capital additions for the year amounted to $</w:t>
      </w:r>
      <w:r w:rsidR="00CE2555">
        <w:rPr>
          <w:lang w:val="en-CA"/>
        </w:rPr>
        <w:t>3.79</w:t>
      </w:r>
      <w:r w:rsidR="00A9233C">
        <w:rPr>
          <w:lang w:val="en-CA"/>
        </w:rPr>
        <w:t>M</w:t>
      </w:r>
      <w:r w:rsidR="00CE2555">
        <w:rPr>
          <w:lang w:val="en-CA"/>
        </w:rPr>
        <w:t xml:space="preserve"> </w:t>
      </w:r>
      <w:r w:rsidRPr="00F01B0A">
        <w:rPr>
          <w:lang w:val="en-CA"/>
        </w:rPr>
        <w:t>(schedule 4</w:t>
      </w:r>
      <w:r w:rsidR="004D4BCF">
        <w:rPr>
          <w:lang w:val="en-CA"/>
        </w:rPr>
        <w:t>A</w:t>
      </w:r>
      <w:r w:rsidRPr="00F01B0A">
        <w:rPr>
          <w:lang w:val="en-CA"/>
        </w:rPr>
        <w:t xml:space="preserve">). </w:t>
      </w:r>
      <w:r w:rsidR="00805456">
        <w:rPr>
          <w:lang w:val="en-CA"/>
        </w:rPr>
        <w:t xml:space="preserve">These additions were as a result of works conducted at various schools on a number of capital projects such </w:t>
      </w:r>
      <w:r w:rsidR="00805456" w:rsidRPr="00350014">
        <w:rPr>
          <w:lang w:val="en-CA"/>
        </w:rPr>
        <w:t xml:space="preserve">as </w:t>
      </w:r>
      <w:r w:rsidR="0007421A">
        <w:rPr>
          <w:lang w:val="en-CA"/>
        </w:rPr>
        <w:t>electrical</w:t>
      </w:r>
      <w:r w:rsidR="00385DC6" w:rsidRPr="00350014">
        <w:rPr>
          <w:lang w:val="en-CA"/>
        </w:rPr>
        <w:t xml:space="preserve"> s</w:t>
      </w:r>
      <w:r w:rsidR="00D850B8" w:rsidRPr="00350014">
        <w:rPr>
          <w:lang w:val="en-CA"/>
        </w:rPr>
        <w:t>ystem</w:t>
      </w:r>
      <w:r w:rsidR="00B20E30">
        <w:rPr>
          <w:lang w:val="en-CA"/>
        </w:rPr>
        <w:t xml:space="preserve"> upgrade</w:t>
      </w:r>
      <w:r w:rsidR="00CE2555">
        <w:rPr>
          <w:lang w:val="en-CA"/>
        </w:rPr>
        <w:t xml:space="preserve"> at</w:t>
      </w:r>
      <w:r w:rsidR="0007421A">
        <w:rPr>
          <w:lang w:val="en-CA"/>
        </w:rPr>
        <w:t xml:space="preserve"> </w:t>
      </w:r>
      <w:r w:rsidR="00B20E30">
        <w:rPr>
          <w:lang w:val="en-CA"/>
        </w:rPr>
        <w:t xml:space="preserve">NESS; </w:t>
      </w:r>
      <w:r w:rsidR="00CE2555">
        <w:rPr>
          <w:lang w:val="en-CA"/>
        </w:rPr>
        <w:t>completion of</w:t>
      </w:r>
      <w:r w:rsidR="00242EAF">
        <w:rPr>
          <w:lang w:val="en-CA"/>
        </w:rPr>
        <w:t xml:space="preserve"> new accessible playground at Alvin McKay;</w:t>
      </w:r>
      <w:r w:rsidR="0007421A">
        <w:rPr>
          <w:lang w:val="en-CA"/>
        </w:rPr>
        <w:t xml:space="preserve"> </w:t>
      </w:r>
      <w:r w:rsidR="00242EAF">
        <w:rPr>
          <w:lang w:val="en-CA"/>
        </w:rPr>
        <w:t xml:space="preserve"> </w:t>
      </w:r>
      <w:r w:rsidR="00CE2555">
        <w:rPr>
          <w:lang w:val="en-CA"/>
        </w:rPr>
        <w:t>completion</w:t>
      </w:r>
      <w:r w:rsidR="00242EAF">
        <w:rPr>
          <w:lang w:val="en-CA"/>
        </w:rPr>
        <w:t xml:space="preserve"> of the gym upgrade</w:t>
      </w:r>
      <w:r w:rsidR="0007421A">
        <w:rPr>
          <w:lang w:val="en-CA"/>
        </w:rPr>
        <w:t xml:space="preserve"> </w:t>
      </w:r>
      <w:r w:rsidR="00C32682">
        <w:rPr>
          <w:lang w:val="en-CA"/>
        </w:rPr>
        <w:t>at Gitwinksihlkw Elementary</w:t>
      </w:r>
      <w:r w:rsidR="00145A21" w:rsidRPr="00350014">
        <w:rPr>
          <w:lang w:val="en-CA"/>
        </w:rPr>
        <w:t xml:space="preserve">; </w:t>
      </w:r>
      <w:r w:rsidR="00CE2555">
        <w:rPr>
          <w:lang w:val="en-CA"/>
        </w:rPr>
        <w:t xml:space="preserve">initial expenses on </w:t>
      </w:r>
      <w:r w:rsidR="006A64D2">
        <w:rPr>
          <w:lang w:val="en-CA"/>
        </w:rPr>
        <w:t xml:space="preserve">generator replacement project for all sites; and initial expenses on both a lighting and Geothermal projects at NESS; </w:t>
      </w:r>
      <w:r w:rsidR="00B20E30">
        <w:rPr>
          <w:lang w:val="en-CA"/>
        </w:rPr>
        <w:t xml:space="preserve">other flooring and </w:t>
      </w:r>
      <w:r w:rsidR="0007421A">
        <w:rPr>
          <w:lang w:val="en-CA"/>
        </w:rPr>
        <w:t>minor</w:t>
      </w:r>
      <w:r w:rsidR="00B20E30">
        <w:rPr>
          <w:lang w:val="en-CA"/>
        </w:rPr>
        <w:t xml:space="preserve"> </w:t>
      </w:r>
      <w:r w:rsidR="00145A21" w:rsidRPr="00350014">
        <w:rPr>
          <w:lang w:val="en-CA"/>
        </w:rPr>
        <w:t>facility upgrades</w:t>
      </w:r>
      <w:r w:rsidR="006A64D2">
        <w:rPr>
          <w:lang w:val="en-CA"/>
        </w:rPr>
        <w:t xml:space="preserve"> were completed through AGF</w:t>
      </w:r>
      <w:r w:rsidR="004D4BCF">
        <w:rPr>
          <w:lang w:val="en-CA"/>
        </w:rPr>
        <w:t xml:space="preserve">; and </w:t>
      </w:r>
      <w:r w:rsidR="0007421A">
        <w:rPr>
          <w:lang w:val="en-CA"/>
        </w:rPr>
        <w:t>significant</w:t>
      </w:r>
      <w:r w:rsidR="00242EAF">
        <w:rPr>
          <w:lang w:val="en-CA"/>
        </w:rPr>
        <w:t xml:space="preserve"> ($1.</w:t>
      </w:r>
      <w:r w:rsidR="006A64D2">
        <w:rPr>
          <w:lang w:val="en-CA"/>
        </w:rPr>
        <w:t>6</w:t>
      </w:r>
      <w:r w:rsidR="00242EAF">
        <w:rPr>
          <w:lang w:val="en-CA"/>
        </w:rPr>
        <w:t>M)</w:t>
      </w:r>
      <w:r w:rsidR="0007421A">
        <w:rPr>
          <w:lang w:val="en-CA"/>
        </w:rPr>
        <w:t xml:space="preserve"> upgrades to </w:t>
      </w:r>
      <w:r w:rsidR="006A64D2">
        <w:rPr>
          <w:lang w:val="en-CA"/>
        </w:rPr>
        <w:t>the NESS washrooms covered by operating surplus from prior years</w:t>
      </w:r>
      <w:r w:rsidR="0007421A">
        <w:rPr>
          <w:lang w:val="en-CA"/>
        </w:rPr>
        <w:t>.</w:t>
      </w:r>
    </w:p>
    <w:p w14:paraId="7AD8B8DB" w14:textId="6D2043B9" w:rsidR="00EA76BF" w:rsidRDefault="00044243" w:rsidP="00FB5CAA">
      <w:pPr>
        <w:rPr>
          <w:lang w:val="en-CA"/>
        </w:rPr>
      </w:pPr>
      <w:r w:rsidRPr="00F01B0A">
        <w:rPr>
          <w:lang w:val="en-CA"/>
        </w:rPr>
        <w:t>The non</w:t>
      </w:r>
      <w:r w:rsidR="00F01B0A" w:rsidRPr="00F01B0A">
        <w:rPr>
          <w:lang w:val="en-CA"/>
        </w:rPr>
        <w:t>-</w:t>
      </w:r>
      <w:r w:rsidRPr="00F01B0A">
        <w:rPr>
          <w:lang w:val="en-CA"/>
        </w:rPr>
        <w:t xml:space="preserve">cash portion reflects the annual </w:t>
      </w:r>
      <w:r w:rsidR="004F19EF">
        <w:rPr>
          <w:lang w:val="en-CA"/>
        </w:rPr>
        <w:t xml:space="preserve">revenue </w:t>
      </w:r>
      <w:r w:rsidRPr="00F01B0A">
        <w:rPr>
          <w:lang w:val="en-CA"/>
        </w:rPr>
        <w:t xml:space="preserve">recognition of </w:t>
      </w:r>
      <w:r w:rsidR="00F01B0A" w:rsidRPr="00F01B0A">
        <w:rPr>
          <w:lang w:val="en-CA"/>
        </w:rPr>
        <w:t>Deferred Capital Revenue (DCR)</w:t>
      </w:r>
      <w:r w:rsidRPr="00F01B0A">
        <w:rPr>
          <w:lang w:val="en-CA"/>
        </w:rPr>
        <w:t xml:space="preserve"> </w:t>
      </w:r>
      <w:r w:rsidR="00F01B0A" w:rsidRPr="00F01B0A">
        <w:rPr>
          <w:lang w:val="en-CA"/>
        </w:rPr>
        <w:t xml:space="preserve">and amortization of tangible capital assets </w:t>
      </w:r>
      <w:r w:rsidRPr="00F01B0A">
        <w:rPr>
          <w:lang w:val="en-CA"/>
        </w:rPr>
        <w:t xml:space="preserve">(schedule 4). </w:t>
      </w:r>
      <w:r w:rsidR="0007421A">
        <w:rPr>
          <w:lang w:val="en-CA"/>
        </w:rPr>
        <w:t xml:space="preserve">  </w:t>
      </w:r>
    </w:p>
    <w:p w14:paraId="6738AEA1" w14:textId="7D7AD751" w:rsidR="00145382" w:rsidRDefault="00F57271" w:rsidP="0094397A">
      <w:pPr>
        <w:pStyle w:val="Heading1"/>
        <w:jc w:val="left"/>
        <w:rPr>
          <w:sz w:val="32"/>
          <w:szCs w:val="32"/>
          <w:lang w:val="en-CA"/>
        </w:rPr>
      </w:pPr>
      <w:bookmarkStart w:id="24" w:name="_Toc51594539"/>
      <w:r w:rsidRPr="0094397A">
        <w:rPr>
          <w:sz w:val="32"/>
          <w:szCs w:val="32"/>
          <w:lang w:val="en-CA"/>
        </w:rPr>
        <w:t>CONTACTING THE DISTRICT’S MANAGEMENT</w:t>
      </w:r>
      <w:bookmarkEnd w:id="24"/>
    </w:p>
    <w:p w14:paraId="6CA341D9" w14:textId="77777777" w:rsidR="00BC3EC8" w:rsidRPr="00BC3EC8" w:rsidRDefault="00BC3EC8" w:rsidP="00BC3EC8">
      <w:pPr>
        <w:rPr>
          <w:lang w:val="en-CA"/>
        </w:rPr>
      </w:pPr>
    </w:p>
    <w:p w14:paraId="2E04B0E0" w14:textId="2BF27636" w:rsidR="00FB5CAA" w:rsidRPr="006F70B9" w:rsidRDefault="00145382">
      <w:pPr>
        <w:rPr>
          <w:lang w:val="en-CA"/>
        </w:rPr>
      </w:pPr>
      <w:r w:rsidRPr="00145382">
        <w:rPr>
          <w:lang w:val="en-CA"/>
        </w:rPr>
        <w:t>This report is designed to provide the reader with an overview of the school district’s finances and to demonstrate the district’s accountability for the funding it receives. If you need additional information or have questions about this report, please contact the Secretary Treasurer at</w:t>
      </w:r>
      <w:r w:rsidR="006A64D2">
        <w:rPr>
          <w:lang w:val="en-CA"/>
        </w:rPr>
        <w:t xml:space="preserve"> Paul Mercer, MBA at </w:t>
      </w:r>
      <w:r w:rsidRPr="00145382">
        <w:rPr>
          <w:lang w:val="en-CA"/>
        </w:rPr>
        <w:t xml:space="preserve"> </w:t>
      </w:r>
      <w:r w:rsidR="006A64D2">
        <w:rPr>
          <w:lang w:val="en-CA"/>
        </w:rPr>
        <w:t>pmercer</w:t>
      </w:r>
      <w:r w:rsidR="00145A21">
        <w:rPr>
          <w:lang w:val="en-CA"/>
        </w:rPr>
        <w:t>@nisgaa.bc.ca</w:t>
      </w:r>
      <w:r w:rsidR="006C4F03">
        <w:rPr>
          <w:lang w:val="en-CA"/>
        </w:rPr>
        <w:t xml:space="preserve"> or visit our website at </w:t>
      </w:r>
      <w:hyperlink r:id="rId23" w:history="1">
        <w:r w:rsidR="00145A21" w:rsidRPr="00C67E31">
          <w:rPr>
            <w:rStyle w:val="Hyperlink"/>
            <w:lang w:val="en-CA"/>
          </w:rPr>
          <w:t>www.nisgaa.bc.ca</w:t>
        </w:r>
      </w:hyperlink>
      <w:r w:rsidR="00F2157B" w:rsidRPr="006F70B9">
        <w:rPr>
          <w:lang w:val="en-CA"/>
        </w:rPr>
        <w:t xml:space="preserve"> </w:t>
      </w:r>
    </w:p>
    <w:sectPr w:rsidR="00FB5CAA" w:rsidRPr="006F70B9" w:rsidSect="002B0171">
      <w:footerReference w:type="default" r:id="rId24"/>
      <w:pgSz w:w="12240" w:h="15840"/>
      <w:pgMar w:top="1135"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DD70F" w14:textId="77777777" w:rsidR="003A6A92" w:rsidRDefault="003A6A92" w:rsidP="002B0171">
      <w:pPr>
        <w:spacing w:after="0" w:line="240" w:lineRule="auto"/>
      </w:pPr>
      <w:r>
        <w:separator/>
      </w:r>
    </w:p>
  </w:endnote>
  <w:endnote w:type="continuationSeparator" w:id="0">
    <w:p w14:paraId="09C8DD2B" w14:textId="77777777" w:rsidR="003A6A92" w:rsidRDefault="003A6A92" w:rsidP="002B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133628"/>
      <w:docPartObj>
        <w:docPartGallery w:val="Page Numbers (Bottom of Page)"/>
        <w:docPartUnique/>
      </w:docPartObj>
    </w:sdtPr>
    <w:sdtEndPr>
      <w:rPr>
        <w:noProof/>
      </w:rPr>
    </w:sdtEndPr>
    <w:sdtContent>
      <w:p w14:paraId="4D1BE7DA" w14:textId="3ACB8F4D" w:rsidR="00C04F34" w:rsidRDefault="00C04F3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050AA8A" w14:textId="77777777" w:rsidR="00C902BA" w:rsidRDefault="00C90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2DD1" w14:textId="77777777" w:rsidR="003A6A92" w:rsidRDefault="003A6A92" w:rsidP="002B0171">
      <w:pPr>
        <w:spacing w:after="0" w:line="240" w:lineRule="auto"/>
      </w:pPr>
      <w:r>
        <w:separator/>
      </w:r>
    </w:p>
  </w:footnote>
  <w:footnote w:type="continuationSeparator" w:id="0">
    <w:p w14:paraId="1C5ACCC4" w14:textId="77777777" w:rsidR="003A6A92" w:rsidRDefault="003A6A92" w:rsidP="002B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74059"/>
    <w:multiLevelType w:val="hybridMultilevel"/>
    <w:tmpl w:val="9ED25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9976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B3"/>
    <w:rsid w:val="00001220"/>
    <w:rsid w:val="00005FDA"/>
    <w:rsid w:val="00013B57"/>
    <w:rsid w:val="00024F74"/>
    <w:rsid w:val="0002742A"/>
    <w:rsid w:val="00044243"/>
    <w:rsid w:val="00056B3F"/>
    <w:rsid w:val="0007421A"/>
    <w:rsid w:val="0007571C"/>
    <w:rsid w:val="000778DA"/>
    <w:rsid w:val="000C5300"/>
    <w:rsid w:val="000D13DB"/>
    <w:rsid w:val="000F412C"/>
    <w:rsid w:val="000F5267"/>
    <w:rsid w:val="000F66BF"/>
    <w:rsid w:val="000F6808"/>
    <w:rsid w:val="000F731A"/>
    <w:rsid w:val="00107665"/>
    <w:rsid w:val="00110AB4"/>
    <w:rsid w:val="00114364"/>
    <w:rsid w:val="00117D20"/>
    <w:rsid w:val="0013355B"/>
    <w:rsid w:val="00143987"/>
    <w:rsid w:val="00145382"/>
    <w:rsid w:val="00145A21"/>
    <w:rsid w:val="0015154A"/>
    <w:rsid w:val="00161113"/>
    <w:rsid w:val="0016133E"/>
    <w:rsid w:val="00164D21"/>
    <w:rsid w:val="00186C62"/>
    <w:rsid w:val="001A28FE"/>
    <w:rsid w:val="001C53D3"/>
    <w:rsid w:val="001E11B2"/>
    <w:rsid w:val="001E16DA"/>
    <w:rsid w:val="001E3A53"/>
    <w:rsid w:val="001E6CD9"/>
    <w:rsid w:val="001F424D"/>
    <w:rsid w:val="001F52BE"/>
    <w:rsid w:val="00223C20"/>
    <w:rsid w:val="00242EAF"/>
    <w:rsid w:val="00243CF3"/>
    <w:rsid w:val="002531C2"/>
    <w:rsid w:val="00253D37"/>
    <w:rsid w:val="00257BCB"/>
    <w:rsid w:val="00284A0E"/>
    <w:rsid w:val="002A4CA0"/>
    <w:rsid w:val="002A5352"/>
    <w:rsid w:val="002B0171"/>
    <w:rsid w:val="002B340E"/>
    <w:rsid w:val="002C6CF4"/>
    <w:rsid w:val="002D1E3C"/>
    <w:rsid w:val="002D59B8"/>
    <w:rsid w:val="002E409B"/>
    <w:rsid w:val="002F2DE1"/>
    <w:rsid w:val="002F3216"/>
    <w:rsid w:val="00350014"/>
    <w:rsid w:val="00374181"/>
    <w:rsid w:val="00376407"/>
    <w:rsid w:val="00385DC6"/>
    <w:rsid w:val="003A6A92"/>
    <w:rsid w:val="003C08A4"/>
    <w:rsid w:val="003E7275"/>
    <w:rsid w:val="00401103"/>
    <w:rsid w:val="004249A9"/>
    <w:rsid w:val="00461CCD"/>
    <w:rsid w:val="00462FD0"/>
    <w:rsid w:val="00481032"/>
    <w:rsid w:val="00494567"/>
    <w:rsid w:val="004D4BCF"/>
    <w:rsid w:val="004E12F5"/>
    <w:rsid w:val="004F19EF"/>
    <w:rsid w:val="004F3859"/>
    <w:rsid w:val="0050526E"/>
    <w:rsid w:val="005359DA"/>
    <w:rsid w:val="00535E73"/>
    <w:rsid w:val="005367FE"/>
    <w:rsid w:val="005437D4"/>
    <w:rsid w:val="0056469E"/>
    <w:rsid w:val="00595B1A"/>
    <w:rsid w:val="005A396F"/>
    <w:rsid w:val="005B4B51"/>
    <w:rsid w:val="005C4B93"/>
    <w:rsid w:val="005C7D75"/>
    <w:rsid w:val="005D257B"/>
    <w:rsid w:val="005D49EB"/>
    <w:rsid w:val="005E4C7B"/>
    <w:rsid w:val="005E4CDC"/>
    <w:rsid w:val="005F05D4"/>
    <w:rsid w:val="005F4175"/>
    <w:rsid w:val="00610F10"/>
    <w:rsid w:val="00616892"/>
    <w:rsid w:val="00623E33"/>
    <w:rsid w:val="00626DDC"/>
    <w:rsid w:val="00631880"/>
    <w:rsid w:val="0063447A"/>
    <w:rsid w:val="00637F02"/>
    <w:rsid w:val="00644507"/>
    <w:rsid w:val="00662D18"/>
    <w:rsid w:val="00665497"/>
    <w:rsid w:val="00666D87"/>
    <w:rsid w:val="0067156C"/>
    <w:rsid w:val="0068294E"/>
    <w:rsid w:val="00697898"/>
    <w:rsid w:val="006A64D2"/>
    <w:rsid w:val="006B74C1"/>
    <w:rsid w:val="006B7A10"/>
    <w:rsid w:val="006C2619"/>
    <w:rsid w:val="006C4F03"/>
    <w:rsid w:val="006C7CCC"/>
    <w:rsid w:val="006D706B"/>
    <w:rsid w:val="006E00E9"/>
    <w:rsid w:val="006E5785"/>
    <w:rsid w:val="006F2857"/>
    <w:rsid w:val="006F45FB"/>
    <w:rsid w:val="006F61E5"/>
    <w:rsid w:val="006F70B9"/>
    <w:rsid w:val="00733D7E"/>
    <w:rsid w:val="00745BA8"/>
    <w:rsid w:val="00746858"/>
    <w:rsid w:val="0074701C"/>
    <w:rsid w:val="007475AC"/>
    <w:rsid w:val="00747DB0"/>
    <w:rsid w:val="00757A2A"/>
    <w:rsid w:val="00782495"/>
    <w:rsid w:val="007824F1"/>
    <w:rsid w:val="00784694"/>
    <w:rsid w:val="00784E87"/>
    <w:rsid w:val="007971FF"/>
    <w:rsid w:val="007A1BDD"/>
    <w:rsid w:val="007A50C9"/>
    <w:rsid w:val="007A6305"/>
    <w:rsid w:val="007B1749"/>
    <w:rsid w:val="007B31BB"/>
    <w:rsid w:val="007C7BFC"/>
    <w:rsid w:val="007D727D"/>
    <w:rsid w:val="007D7D7D"/>
    <w:rsid w:val="008006C9"/>
    <w:rsid w:val="00805456"/>
    <w:rsid w:val="0084738B"/>
    <w:rsid w:val="00861855"/>
    <w:rsid w:val="00870165"/>
    <w:rsid w:val="008828AC"/>
    <w:rsid w:val="008C1912"/>
    <w:rsid w:val="008D32B7"/>
    <w:rsid w:val="008D7AD5"/>
    <w:rsid w:val="008E1DBE"/>
    <w:rsid w:val="008E2D75"/>
    <w:rsid w:val="008F3648"/>
    <w:rsid w:val="00904A4B"/>
    <w:rsid w:val="009155D4"/>
    <w:rsid w:val="00930FCB"/>
    <w:rsid w:val="00931984"/>
    <w:rsid w:val="0094397A"/>
    <w:rsid w:val="00946789"/>
    <w:rsid w:val="00954E9F"/>
    <w:rsid w:val="00955F61"/>
    <w:rsid w:val="00963761"/>
    <w:rsid w:val="0097563E"/>
    <w:rsid w:val="00980F5A"/>
    <w:rsid w:val="009901A2"/>
    <w:rsid w:val="00990645"/>
    <w:rsid w:val="009A60A6"/>
    <w:rsid w:val="009B0D8C"/>
    <w:rsid w:val="009B2D6C"/>
    <w:rsid w:val="009C038F"/>
    <w:rsid w:val="009E5BD0"/>
    <w:rsid w:val="009E6B27"/>
    <w:rsid w:val="00A03C2F"/>
    <w:rsid w:val="00A16FB6"/>
    <w:rsid w:val="00A23DDE"/>
    <w:rsid w:val="00A26B0D"/>
    <w:rsid w:val="00A37A77"/>
    <w:rsid w:val="00A530E6"/>
    <w:rsid w:val="00A53976"/>
    <w:rsid w:val="00A6267F"/>
    <w:rsid w:val="00A67ED7"/>
    <w:rsid w:val="00A74281"/>
    <w:rsid w:val="00A808D0"/>
    <w:rsid w:val="00A84F3E"/>
    <w:rsid w:val="00A9233C"/>
    <w:rsid w:val="00AA6608"/>
    <w:rsid w:val="00AC3D20"/>
    <w:rsid w:val="00AD15B3"/>
    <w:rsid w:val="00AD1887"/>
    <w:rsid w:val="00AE4C21"/>
    <w:rsid w:val="00AF5AE3"/>
    <w:rsid w:val="00B06FEE"/>
    <w:rsid w:val="00B16D4A"/>
    <w:rsid w:val="00B20E30"/>
    <w:rsid w:val="00B31E74"/>
    <w:rsid w:val="00B348E5"/>
    <w:rsid w:val="00B3565D"/>
    <w:rsid w:val="00B37499"/>
    <w:rsid w:val="00B45653"/>
    <w:rsid w:val="00B5499E"/>
    <w:rsid w:val="00B5707A"/>
    <w:rsid w:val="00B57AFE"/>
    <w:rsid w:val="00B80501"/>
    <w:rsid w:val="00B91813"/>
    <w:rsid w:val="00B93589"/>
    <w:rsid w:val="00BA6823"/>
    <w:rsid w:val="00BA735B"/>
    <w:rsid w:val="00BC3EC8"/>
    <w:rsid w:val="00BC5922"/>
    <w:rsid w:val="00BC7C8E"/>
    <w:rsid w:val="00BD2478"/>
    <w:rsid w:val="00BD29D3"/>
    <w:rsid w:val="00BE48AA"/>
    <w:rsid w:val="00BE676C"/>
    <w:rsid w:val="00C002FE"/>
    <w:rsid w:val="00C008DD"/>
    <w:rsid w:val="00C04F34"/>
    <w:rsid w:val="00C12EC0"/>
    <w:rsid w:val="00C31803"/>
    <w:rsid w:val="00C32682"/>
    <w:rsid w:val="00C33962"/>
    <w:rsid w:val="00C512C7"/>
    <w:rsid w:val="00C5729C"/>
    <w:rsid w:val="00C601A4"/>
    <w:rsid w:val="00C647B0"/>
    <w:rsid w:val="00C66040"/>
    <w:rsid w:val="00C705B3"/>
    <w:rsid w:val="00C7071C"/>
    <w:rsid w:val="00C74179"/>
    <w:rsid w:val="00C761DD"/>
    <w:rsid w:val="00C809BC"/>
    <w:rsid w:val="00C837DA"/>
    <w:rsid w:val="00C87699"/>
    <w:rsid w:val="00C902BA"/>
    <w:rsid w:val="00CA0A2D"/>
    <w:rsid w:val="00CA5A89"/>
    <w:rsid w:val="00CC7BBE"/>
    <w:rsid w:val="00CD6968"/>
    <w:rsid w:val="00CE1734"/>
    <w:rsid w:val="00CE1B58"/>
    <w:rsid w:val="00CE2555"/>
    <w:rsid w:val="00D255A5"/>
    <w:rsid w:val="00D350E3"/>
    <w:rsid w:val="00D76DF6"/>
    <w:rsid w:val="00D850B8"/>
    <w:rsid w:val="00D95C4E"/>
    <w:rsid w:val="00D965D9"/>
    <w:rsid w:val="00DA318F"/>
    <w:rsid w:val="00DC013C"/>
    <w:rsid w:val="00DC07AF"/>
    <w:rsid w:val="00DD7792"/>
    <w:rsid w:val="00DE3823"/>
    <w:rsid w:val="00DE72FC"/>
    <w:rsid w:val="00DF5031"/>
    <w:rsid w:val="00E21953"/>
    <w:rsid w:val="00E377EF"/>
    <w:rsid w:val="00E41852"/>
    <w:rsid w:val="00E42152"/>
    <w:rsid w:val="00E44A74"/>
    <w:rsid w:val="00E463C4"/>
    <w:rsid w:val="00E46650"/>
    <w:rsid w:val="00E7791E"/>
    <w:rsid w:val="00E90031"/>
    <w:rsid w:val="00E9658C"/>
    <w:rsid w:val="00E9713E"/>
    <w:rsid w:val="00E97FA9"/>
    <w:rsid w:val="00EA76BF"/>
    <w:rsid w:val="00EB0783"/>
    <w:rsid w:val="00ED06BA"/>
    <w:rsid w:val="00ED2844"/>
    <w:rsid w:val="00ED493C"/>
    <w:rsid w:val="00ED4ECF"/>
    <w:rsid w:val="00EE175B"/>
    <w:rsid w:val="00EF4766"/>
    <w:rsid w:val="00F01B0A"/>
    <w:rsid w:val="00F107F2"/>
    <w:rsid w:val="00F132E2"/>
    <w:rsid w:val="00F16B55"/>
    <w:rsid w:val="00F2157B"/>
    <w:rsid w:val="00F248BE"/>
    <w:rsid w:val="00F278B2"/>
    <w:rsid w:val="00F32463"/>
    <w:rsid w:val="00F44360"/>
    <w:rsid w:val="00F47E45"/>
    <w:rsid w:val="00F50A81"/>
    <w:rsid w:val="00F554B6"/>
    <w:rsid w:val="00F571DE"/>
    <w:rsid w:val="00F57271"/>
    <w:rsid w:val="00F6181A"/>
    <w:rsid w:val="00F62BA8"/>
    <w:rsid w:val="00F740FC"/>
    <w:rsid w:val="00F7771D"/>
    <w:rsid w:val="00FA1E72"/>
    <w:rsid w:val="00FA24A3"/>
    <w:rsid w:val="00FB5CAA"/>
    <w:rsid w:val="00FB5D87"/>
    <w:rsid w:val="00FC4678"/>
    <w:rsid w:val="00FD3508"/>
    <w:rsid w:val="00FE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9834"/>
  <w15:docId w15:val="{3DE3976B-7877-4C0C-B07E-AE206E7C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E6"/>
  </w:style>
  <w:style w:type="paragraph" w:styleId="Heading1">
    <w:name w:val="heading 1"/>
    <w:basedOn w:val="Normal"/>
    <w:next w:val="Normal"/>
    <w:link w:val="Heading1Char"/>
    <w:uiPriority w:val="9"/>
    <w:qFormat/>
    <w:rsid w:val="00A530E6"/>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A530E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A530E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A530E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A530E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A530E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530E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530E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530E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746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D20"/>
    <w:rPr>
      <w:sz w:val="16"/>
      <w:szCs w:val="16"/>
    </w:rPr>
  </w:style>
  <w:style w:type="paragraph" w:styleId="CommentText">
    <w:name w:val="annotation text"/>
    <w:basedOn w:val="Normal"/>
    <w:link w:val="CommentTextChar"/>
    <w:uiPriority w:val="99"/>
    <w:semiHidden/>
    <w:unhideWhenUsed/>
    <w:rsid w:val="00117D20"/>
    <w:pPr>
      <w:spacing w:line="240" w:lineRule="auto"/>
    </w:pPr>
    <w:rPr>
      <w:sz w:val="20"/>
      <w:szCs w:val="20"/>
    </w:rPr>
  </w:style>
  <w:style w:type="character" w:customStyle="1" w:styleId="CommentTextChar">
    <w:name w:val="Comment Text Char"/>
    <w:basedOn w:val="DefaultParagraphFont"/>
    <w:link w:val="CommentText"/>
    <w:uiPriority w:val="99"/>
    <w:semiHidden/>
    <w:rsid w:val="00117D20"/>
    <w:rPr>
      <w:sz w:val="20"/>
      <w:szCs w:val="20"/>
    </w:rPr>
  </w:style>
  <w:style w:type="paragraph" w:styleId="CommentSubject">
    <w:name w:val="annotation subject"/>
    <w:basedOn w:val="CommentText"/>
    <w:next w:val="CommentText"/>
    <w:link w:val="CommentSubjectChar"/>
    <w:uiPriority w:val="99"/>
    <w:semiHidden/>
    <w:unhideWhenUsed/>
    <w:rsid w:val="00117D20"/>
    <w:rPr>
      <w:b/>
      <w:bCs/>
    </w:rPr>
  </w:style>
  <w:style w:type="character" w:customStyle="1" w:styleId="CommentSubjectChar">
    <w:name w:val="Comment Subject Char"/>
    <w:basedOn w:val="CommentTextChar"/>
    <w:link w:val="CommentSubject"/>
    <w:uiPriority w:val="99"/>
    <w:semiHidden/>
    <w:rsid w:val="00117D20"/>
    <w:rPr>
      <w:b/>
      <w:bCs/>
      <w:sz w:val="20"/>
      <w:szCs w:val="20"/>
    </w:rPr>
  </w:style>
  <w:style w:type="paragraph" w:styleId="BalloonText">
    <w:name w:val="Balloon Text"/>
    <w:basedOn w:val="Normal"/>
    <w:link w:val="BalloonTextChar"/>
    <w:uiPriority w:val="99"/>
    <w:semiHidden/>
    <w:unhideWhenUsed/>
    <w:rsid w:val="0011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D20"/>
    <w:rPr>
      <w:rFonts w:ascii="Tahoma" w:hAnsi="Tahoma" w:cs="Tahoma"/>
      <w:sz w:val="16"/>
      <w:szCs w:val="16"/>
    </w:rPr>
  </w:style>
  <w:style w:type="paragraph" w:styleId="ListParagraph">
    <w:name w:val="List Paragraph"/>
    <w:basedOn w:val="Normal"/>
    <w:uiPriority w:val="34"/>
    <w:qFormat/>
    <w:rsid w:val="00461CCD"/>
    <w:pPr>
      <w:ind w:left="720"/>
      <w:contextualSpacing/>
    </w:pPr>
  </w:style>
  <w:style w:type="character" w:styleId="Hyperlink">
    <w:name w:val="Hyperlink"/>
    <w:basedOn w:val="DefaultParagraphFont"/>
    <w:uiPriority w:val="99"/>
    <w:unhideWhenUsed/>
    <w:rsid w:val="00253D37"/>
    <w:rPr>
      <w:color w:val="0000FF" w:themeColor="hyperlink"/>
      <w:u w:val="single"/>
    </w:rPr>
  </w:style>
  <w:style w:type="character" w:styleId="UnresolvedMention">
    <w:name w:val="Unresolved Mention"/>
    <w:basedOn w:val="DefaultParagraphFont"/>
    <w:uiPriority w:val="99"/>
    <w:semiHidden/>
    <w:unhideWhenUsed/>
    <w:rsid w:val="00253D37"/>
    <w:rPr>
      <w:color w:val="605E5C"/>
      <w:shd w:val="clear" w:color="auto" w:fill="E1DFDD"/>
    </w:rPr>
  </w:style>
  <w:style w:type="paragraph" w:styleId="Header">
    <w:name w:val="header"/>
    <w:basedOn w:val="Normal"/>
    <w:link w:val="HeaderChar"/>
    <w:uiPriority w:val="99"/>
    <w:unhideWhenUsed/>
    <w:rsid w:val="002B0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71"/>
  </w:style>
  <w:style w:type="paragraph" w:styleId="Footer">
    <w:name w:val="footer"/>
    <w:basedOn w:val="Normal"/>
    <w:link w:val="FooterChar"/>
    <w:uiPriority w:val="99"/>
    <w:unhideWhenUsed/>
    <w:rsid w:val="002B0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71"/>
  </w:style>
  <w:style w:type="character" w:customStyle="1" w:styleId="Heading1Char">
    <w:name w:val="Heading 1 Char"/>
    <w:basedOn w:val="DefaultParagraphFont"/>
    <w:link w:val="Heading1"/>
    <w:uiPriority w:val="9"/>
    <w:rsid w:val="00A530E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A530E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A530E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A530E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A530E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A530E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530E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530E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530E6"/>
    <w:rPr>
      <w:b/>
      <w:bCs/>
      <w:i/>
      <w:iCs/>
    </w:rPr>
  </w:style>
  <w:style w:type="paragraph" w:styleId="Caption">
    <w:name w:val="caption"/>
    <w:basedOn w:val="Normal"/>
    <w:next w:val="Normal"/>
    <w:uiPriority w:val="35"/>
    <w:semiHidden/>
    <w:unhideWhenUsed/>
    <w:qFormat/>
    <w:rsid w:val="00A530E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530E6"/>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A530E6"/>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A530E6"/>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A530E6"/>
    <w:rPr>
      <w:color w:val="1F497D" w:themeColor="text2"/>
      <w:sz w:val="28"/>
      <w:szCs w:val="28"/>
    </w:rPr>
  </w:style>
  <w:style w:type="character" w:styleId="Strong">
    <w:name w:val="Strong"/>
    <w:basedOn w:val="DefaultParagraphFont"/>
    <w:uiPriority w:val="22"/>
    <w:qFormat/>
    <w:rsid w:val="00A530E6"/>
    <w:rPr>
      <w:b/>
      <w:bCs/>
    </w:rPr>
  </w:style>
  <w:style w:type="character" w:styleId="Emphasis">
    <w:name w:val="Emphasis"/>
    <w:basedOn w:val="DefaultParagraphFont"/>
    <w:uiPriority w:val="20"/>
    <w:qFormat/>
    <w:rsid w:val="00A530E6"/>
    <w:rPr>
      <w:i/>
      <w:iCs/>
      <w:color w:val="000000" w:themeColor="text1"/>
    </w:rPr>
  </w:style>
  <w:style w:type="paragraph" w:styleId="NoSpacing">
    <w:name w:val="No Spacing"/>
    <w:uiPriority w:val="1"/>
    <w:qFormat/>
    <w:rsid w:val="00A530E6"/>
    <w:pPr>
      <w:spacing w:after="0" w:line="240" w:lineRule="auto"/>
    </w:pPr>
  </w:style>
  <w:style w:type="paragraph" w:styleId="Quote">
    <w:name w:val="Quote"/>
    <w:basedOn w:val="Normal"/>
    <w:next w:val="Normal"/>
    <w:link w:val="QuoteChar"/>
    <w:uiPriority w:val="29"/>
    <w:qFormat/>
    <w:rsid w:val="00A530E6"/>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A530E6"/>
    <w:rPr>
      <w:i/>
      <w:iCs/>
      <w:color w:val="76923C" w:themeColor="accent3" w:themeShade="BF"/>
      <w:sz w:val="24"/>
      <w:szCs w:val="24"/>
    </w:rPr>
  </w:style>
  <w:style w:type="paragraph" w:styleId="IntenseQuote">
    <w:name w:val="Intense Quote"/>
    <w:basedOn w:val="Normal"/>
    <w:next w:val="Normal"/>
    <w:link w:val="IntenseQuoteChar"/>
    <w:uiPriority w:val="30"/>
    <w:qFormat/>
    <w:rsid w:val="00A530E6"/>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A530E6"/>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A530E6"/>
    <w:rPr>
      <w:i/>
      <w:iCs/>
      <w:color w:val="595959" w:themeColor="text1" w:themeTint="A6"/>
    </w:rPr>
  </w:style>
  <w:style w:type="character" w:styleId="IntenseEmphasis">
    <w:name w:val="Intense Emphasis"/>
    <w:basedOn w:val="DefaultParagraphFont"/>
    <w:uiPriority w:val="21"/>
    <w:qFormat/>
    <w:rsid w:val="00A530E6"/>
    <w:rPr>
      <w:b/>
      <w:bCs/>
      <w:i/>
      <w:iCs/>
      <w:color w:val="auto"/>
    </w:rPr>
  </w:style>
  <w:style w:type="character" w:styleId="SubtleReference">
    <w:name w:val="Subtle Reference"/>
    <w:basedOn w:val="DefaultParagraphFont"/>
    <w:uiPriority w:val="31"/>
    <w:qFormat/>
    <w:rsid w:val="00A530E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530E6"/>
    <w:rPr>
      <w:b/>
      <w:bCs/>
      <w:caps w:val="0"/>
      <w:smallCaps/>
      <w:color w:val="auto"/>
      <w:spacing w:val="0"/>
      <w:u w:val="single"/>
    </w:rPr>
  </w:style>
  <w:style w:type="character" w:styleId="BookTitle">
    <w:name w:val="Book Title"/>
    <w:basedOn w:val="DefaultParagraphFont"/>
    <w:uiPriority w:val="33"/>
    <w:qFormat/>
    <w:rsid w:val="00A530E6"/>
    <w:rPr>
      <w:b/>
      <w:bCs/>
      <w:caps w:val="0"/>
      <w:smallCaps/>
      <w:spacing w:val="0"/>
    </w:rPr>
  </w:style>
  <w:style w:type="paragraph" w:styleId="TOCHeading">
    <w:name w:val="TOC Heading"/>
    <w:basedOn w:val="Heading1"/>
    <w:next w:val="Normal"/>
    <w:uiPriority w:val="39"/>
    <w:unhideWhenUsed/>
    <w:qFormat/>
    <w:rsid w:val="00A530E6"/>
    <w:pPr>
      <w:outlineLvl w:val="9"/>
    </w:pPr>
  </w:style>
  <w:style w:type="paragraph" w:styleId="TOC2">
    <w:name w:val="toc 2"/>
    <w:basedOn w:val="Normal"/>
    <w:next w:val="Normal"/>
    <w:autoRedefine/>
    <w:uiPriority w:val="39"/>
    <w:unhideWhenUsed/>
    <w:rsid w:val="00A530E6"/>
    <w:pPr>
      <w:spacing w:before="120" w:after="0"/>
      <w:ind w:left="210"/>
    </w:pPr>
    <w:rPr>
      <w:rFonts w:cstheme="minorHAnsi"/>
      <w:i/>
      <w:iCs/>
      <w:sz w:val="20"/>
      <w:szCs w:val="20"/>
    </w:rPr>
  </w:style>
  <w:style w:type="paragraph" w:styleId="TOC1">
    <w:name w:val="toc 1"/>
    <w:basedOn w:val="Normal"/>
    <w:next w:val="Normal"/>
    <w:autoRedefine/>
    <w:uiPriority w:val="39"/>
    <w:unhideWhenUsed/>
    <w:rsid w:val="00A530E6"/>
    <w:pPr>
      <w:spacing w:before="240" w:after="120"/>
    </w:pPr>
    <w:rPr>
      <w:rFonts w:cstheme="minorHAnsi"/>
      <w:b/>
      <w:bCs/>
      <w:sz w:val="20"/>
      <w:szCs w:val="20"/>
    </w:rPr>
  </w:style>
  <w:style w:type="paragraph" w:styleId="TOC3">
    <w:name w:val="toc 3"/>
    <w:basedOn w:val="Normal"/>
    <w:next w:val="Normal"/>
    <w:autoRedefine/>
    <w:uiPriority w:val="39"/>
    <w:unhideWhenUsed/>
    <w:rsid w:val="00A530E6"/>
    <w:pPr>
      <w:spacing w:after="0"/>
      <w:ind w:left="420"/>
    </w:pPr>
    <w:rPr>
      <w:rFonts w:cstheme="minorHAnsi"/>
      <w:sz w:val="20"/>
      <w:szCs w:val="20"/>
    </w:rPr>
  </w:style>
  <w:style w:type="paragraph" w:styleId="TOC4">
    <w:name w:val="toc 4"/>
    <w:basedOn w:val="Normal"/>
    <w:next w:val="Normal"/>
    <w:autoRedefine/>
    <w:uiPriority w:val="39"/>
    <w:unhideWhenUsed/>
    <w:rsid w:val="006B74C1"/>
    <w:pPr>
      <w:spacing w:after="0"/>
      <w:ind w:left="630"/>
    </w:pPr>
    <w:rPr>
      <w:rFonts w:cstheme="minorHAnsi"/>
      <w:sz w:val="20"/>
      <w:szCs w:val="20"/>
    </w:rPr>
  </w:style>
  <w:style w:type="paragraph" w:styleId="TOC5">
    <w:name w:val="toc 5"/>
    <w:basedOn w:val="Normal"/>
    <w:next w:val="Normal"/>
    <w:autoRedefine/>
    <w:uiPriority w:val="39"/>
    <w:unhideWhenUsed/>
    <w:rsid w:val="00B348E5"/>
    <w:pPr>
      <w:spacing w:after="0"/>
      <w:ind w:left="840"/>
    </w:pPr>
    <w:rPr>
      <w:rFonts w:cstheme="minorHAnsi"/>
      <w:sz w:val="20"/>
      <w:szCs w:val="20"/>
    </w:rPr>
  </w:style>
  <w:style w:type="paragraph" w:styleId="TOC6">
    <w:name w:val="toc 6"/>
    <w:basedOn w:val="Normal"/>
    <w:next w:val="Normal"/>
    <w:autoRedefine/>
    <w:uiPriority w:val="39"/>
    <w:unhideWhenUsed/>
    <w:rsid w:val="00B348E5"/>
    <w:pPr>
      <w:spacing w:after="0"/>
      <w:ind w:left="1050"/>
    </w:pPr>
    <w:rPr>
      <w:rFonts w:cstheme="minorHAnsi"/>
      <w:sz w:val="20"/>
      <w:szCs w:val="20"/>
    </w:rPr>
  </w:style>
  <w:style w:type="paragraph" w:styleId="TOC7">
    <w:name w:val="toc 7"/>
    <w:basedOn w:val="Normal"/>
    <w:next w:val="Normal"/>
    <w:autoRedefine/>
    <w:uiPriority w:val="39"/>
    <w:unhideWhenUsed/>
    <w:rsid w:val="00B348E5"/>
    <w:pPr>
      <w:spacing w:after="0"/>
      <w:ind w:left="1260"/>
    </w:pPr>
    <w:rPr>
      <w:rFonts w:cstheme="minorHAnsi"/>
      <w:sz w:val="20"/>
      <w:szCs w:val="20"/>
    </w:rPr>
  </w:style>
  <w:style w:type="paragraph" w:styleId="TOC8">
    <w:name w:val="toc 8"/>
    <w:basedOn w:val="Normal"/>
    <w:next w:val="Normal"/>
    <w:autoRedefine/>
    <w:uiPriority w:val="39"/>
    <w:unhideWhenUsed/>
    <w:rsid w:val="00B348E5"/>
    <w:pPr>
      <w:spacing w:after="0"/>
      <w:ind w:left="1470"/>
    </w:pPr>
    <w:rPr>
      <w:rFonts w:cstheme="minorHAnsi"/>
      <w:sz w:val="20"/>
      <w:szCs w:val="20"/>
    </w:rPr>
  </w:style>
  <w:style w:type="paragraph" w:styleId="TOC9">
    <w:name w:val="toc 9"/>
    <w:basedOn w:val="Normal"/>
    <w:next w:val="Normal"/>
    <w:autoRedefine/>
    <w:uiPriority w:val="39"/>
    <w:unhideWhenUsed/>
    <w:rsid w:val="00B348E5"/>
    <w:pPr>
      <w:spacing w:after="0"/>
      <w:ind w:left="1680"/>
    </w:pPr>
    <w:rPr>
      <w:rFonts w:cstheme="minorHAnsi"/>
      <w:sz w:val="20"/>
      <w:szCs w:val="20"/>
    </w:rPr>
  </w:style>
  <w:style w:type="character" w:styleId="FollowedHyperlink">
    <w:name w:val="FollowedHyperlink"/>
    <w:basedOn w:val="DefaultParagraphFont"/>
    <w:uiPriority w:val="99"/>
    <w:semiHidden/>
    <w:unhideWhenUsed/>
    <w:rsid w:val="006C7CCC"/>
    <w:rPr>
      <w:color w:val="800080" w:themeColor="followedHyperlink"/>
      <w:u w:val="single"/>
    </w:rPr>
  </w:style>
  <w:style w:type="table" w:styleId="TableGridLight">
    <w:name w:val="Grid Table Light"/>
    <w:basedOn w:val="TableNormal"/>
    <w:uiPriority w:val="40"/>
    <w:rsid w:val="00EF47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3552">
      <w:bodyDiv w:val="1"/>
      <w:marLeft w:val="0"/>
      <w:marRight w:val="0"/>
      <w:marTop w:val="0"/>
      <w:marBottom w:val="0"/>
      <w:divBdr>
        <w:top w:val="none" w:sz="0" w:space="0" w:color="auto"/>
        <w:left w:val="none" w:sz="0" w:space="0" w:color="auto"/>
        <w:bottom w:val="none" w:sz="0" w:space="0" w:color="auto"/>
        <w:right w:val="none" w:sz="0" w:space="0" w:color="auto"/>
      </w:divBdr>
    </w:div>
    <w:div w:id="36053504">
      <w:bodyDiv w:val="1"/>
      <w:marLeft w:val="0"/>
      <w:marRight w:val="0"/>
      <w:marTop w:val="0"/>
      <w:marBottom w:val="0"/>
      <w:divBdr>
        <w:top w:val="none" w:sz="0" w:space="0" w:color="auto"/>
        <w:left w:val="none" w:sz="0" w:space="0" w:color="auto"/>
        <w:bottom w:val="none" w:sz="0" w:space="0" w:color="auto"/>
        <w:right w:val="none" w:sz="0" w:space="0" w:color="auto"/>
      </w:divBdr>
    </w:div>
    <w:div w:id="116609408">
      <w:bodyDiv w:val="1"/>
      <w:marLeft w:val="0"/>
      <w:marRight w:val="0"/>
      <w:marTop w:val="0"/>
      <w:marBottom w:val="0"/>
      <w:divBdr>
        <w:top w:val="none" w:sz="0" w:space="0" w:color="auto"/>
        <w:left w:val="none" w:sz="0" w:space="0" w:color="auto"/>
        <w:bottom w:val="none" w:sz="0" w:space="0" w:color="auto"/>
        <w:right w:val="none" w:sz="0" w:space="0" w:color="auto"/>
      </w:divBdr>
    </w:div>
    <w:div w:id="145128720">
      <w:bodyDiv w:val="1"/>
      <w:marLeft w:val="0"/>
      <w:marRight w:val="0"/>
      <w:marTop w:val="0"/>
      <w:marBottom w:val="0"/>
      <w:divBdr>
        <w:top w:val="none" w:sz="0" w:space="0" w:color="auto"/>
        <w:left w:val="none" w:sz="0" w:space="0" w:color="auto"/>
        <w:bottom w:val="none" w:sz="0" w:space="0" w:color="auto"/>
        <w:right w:val="none" w:sz="0" w:space="0" w:color="auto"/>
      </w:divBdr>
    </w:div>
    <w:div w:id="173351269">
      <w:bodyDiv w:val="1"/>
      <w:marLeft w:val="0"/>
      <w:marRight w:val="0"/>
      <w:marTop w:val="0"/>
      <w:marBottom w:val="0"/>
      <w:divBdr>
        <w:top w:val="none" w:sz="0" w:space="0" w:color="auto"/>
        <w:left w:val="none" w:sz="0" w:space="0" w:color="auto"/>
        <w:bottom w:val="none" w:sz="0" w:space="0" w:color="auto"/>
        <w:right w:val="none" w:sz="0" w:space="0" w:color="auto"/>
      </w:divBdr>
    </w:div>
    <w:div w:id="227691226">
      <w:bodyDiv w:val="1"/>
      <w:marLeft w:val="0"/>
      <w:marRight w:val="0"/>
      <w:marTop w:val="0"/>
      <w:marBottom w:val="0"/>
      <w:divBdr>
        <w:top w:val="none" w:sz="0" w:space="0" w:color="auto"/>
        <w:left w:val="none" w:sz="0" w:space="0" w:color="auto"/>
        <w:bottom w:val="none" w:sz="0" w:space="0" w:color="auto"/>
        <w:right w:val="none" w:sz="0" w:space="0" w:color="auto"/>
      </w:divBdr>
    </w:div>
    <w:div w:id="238057044">
      <w:bodyDiv w:val="1"/>
      <w:marLeft w:val="0"/>
      <w:marRight w:val="0"/>
      <w:marTop w:val="0"/>
      <w:marBottom w:val="0"/>
      <w:divBdr>
        <w:top w:val="none" w:sz="0" w:space="0" w:color="auto"/>
        <w:left w:val="none" w:sz="0" w:space="0" w:color="auto"/>
        <w:bottom w:val="none" w:sz="0" w:space="0" w:color="auto"/>
        <w:right w:val="none" w:sz="0" w:space="0" w:color="auto"/>
      </w:divBdr>
    </w:div>
    <w:div w:id="289937908">
      <w:bodyDiv w:val="1"/>
      <w:marLeft w:val="0"/>
      <w:marRight w:val="0"/>
      <w:marTop w:val="0"/>
      <w:marBottom w:val="0"/>
      <w:divBdr>
        <w:top w:val="none" w:sz="0" w:space="0" w:color="auto"/>
        <w:left w:val="none" w:sz="0" w:space="0" w:color="auto"/>
        <w:bottom w:val="none" w:sz="0" w:space="0" w:color="auto"/>
        <w:right w:val="none" w:sz="0" w:space="0" w:color="auto"/>
      </w:divBdr>
    </w:div>
    <w:div w:id="310600026">
      <w:bodyDiv w:val="1"/>
      <w:marLeft w:val="0"/>
      <w:marRight w:val="0"/>
      <w:marTop w:val="0"/>
      <w:marBottom w:val="0"/>
      <w:divBdr>
        <w:top w:val="none" w:sz="0" w:space="0" w:color="auto"/>
        <w:left w:val="none" w:sz="0" w:space="0" w:color="auto"/>
        <w:bottom w:val="none" w:sz="0" w:space="0" w:color="auto"/>
        <w:right w:val="none" w:sz="0" w:space="0" w:color="auto"/>
      </w:divBdr>
    </w:div>
    <w:div w:id="313223352">
      <w:bodyDiv w:val="1"/>
      <w:marLeft w:val="0"/>
      <w:marRight w:val="0"/>
      <w:marTop w:val="0"/>
      <w:marBottom w:val="0"/>
      <w:divBdr>
        <w:top w:val="none" w:sz="0" w:space="0" w:color="auto"/>
        <w:left w:val="none" w:sz="0" w:space="0" w:color="auto"/>
        <w:bottom w:val="none" w:sz="0" w:space="0" w:color="auto"/>
        <w:right w:val="none" w:sz="0" w:space="0" w:color="auto"/>
      </w:divBdr>
    </w:div>
    <w:div w:id="330984134">
      <w:bodyDiv w:val="1"/>
      <w:marLeft w:val="0"/>
      <w:marRight w:val="0"/>
      <w:marTop w:val="0"/>
      <w:marBottom w:val="0"/>
      <w:divBdr>
        <w:top w:val="none" w:sz="0" w:space="0" w:color="auto"/>
        <w:left w:val="none" w:sz="0" w:space="0" w:color="auto"/>
        <w:bottom w:val="none" w:sz="0" w:space="0" w:color="auto"/>
        <w:right w:val="none" w:sz="0" w:space="0" w:color="auto"/>
      </w:divBdr>
    </w:div>
    <w:div w:id="347608166">
      <w:bodyDiv w:val="1"/>
      <w:marLeft w:val="0"/>
      <w:marRight w:val="0"/>
      <w:marTop w:val="0"/>
      <w:marBottom w:val="0"/>
      <w:divBdr>
        <w:top w:val="none" w:sz="0" w:space="0" w:color="auto"/>
        <w:left w:val="none" w:sz="0" w:space="0" w:color="auto"/>
        <w:bottom w:val="none" w:sz="0" w:space="0" w:color="auto"/>
        <w:right w:val="none" w:sz="0" w:space="0" w:color="auto"/>
      </w:divBdr>
    </w:div>
    <w:div w:id="418524309">
      <w:bodyDiv w:val="1"/>
      <w:marLeft w:val="0"/>
      <w:marRight w:val="0"/>
      <w:marTop w:val="0"/>
      <w:marBottom w:val="0"/>
      <w:divBdr>
        <w:top w:val="none" w:sz="0" w:space="0" w:color="auto"/>
        <w:left w:val="none" w:sz="0" w:space="0" w:color="auto"/>
        <w:bottom w:val="none" w:sz="0" w:space="0" w:color="auto"/>
        <w:right w:val="none" w:sz="0" w:space="0" w:color="auto"/>
      </w:divBdr>
    </w:div>
    <w:div w:id="462431291">
      <w:bodyDiv w:val="1"/>
      <w:marLeft w:val="0"/>
      <w:marRight w:val="0"/>
      <w:marTop w:val="0"/>
      <w:marBottom w:val="0"/>
      <w:divBdr>
        <w:top w:val="none" w:sz="0" w:space="0" w:color="auto"/>
        <w:left w:val="none" w:sz="0" w:space="0" w:color="auto"/>
        <w:bottom w:val="none" w:sz="0" w:space="0" w:color="auto"/>
        <w:right w:val="none" w:sz="0" w:space="0" w:color="auto"/>
      </w:divBdr>
    </w:div>
    <w:div w:id="468085328">
      <w:bodyDiv w:val="1"/>
      <w:marLeft w:val="0"/>
      <w:marRight w:val="0"/>
      <w:marTop w:val="0"/>
      <w:marBottom w:val="0"/>
      <w:divBdr>
        <w:top w:val="none" w:sz="0" w:space="0" w:color="auto"/>
        <w:left w:val="none" w:sz="0" w:space="0" w:color="auto"/>
        <w:bottom w:val="none" w:sz="0" w:space="0" w:color="auto"/>
        <w:right w:val="none" w:sz="0" w:space="0" w:color="auto"/>
      </w:divBdr>
    </w:div>
    <w:div w:id="566494052">
      <w:bodyDiv w:val="1"/>
      <w:marLeft w:val="0"/>
      <w:marRight w:val="0"/>
      <w:marTop w:val="0"/>
      <w:marBottom w:val="0"/>
      <w:divBdr>
        <w:top w:val="none" w:sz="0" w:space="0" w:color="auto"/>
        <w:left w:val="none" w:sz="0" w:space="0" w:color="auto"/>
        <w:bottom w:val="none" w:sz="0" w:space="0" w:color="auto"/>
        <w:right w:val="none" w:sz="0" w:space="0" w:color="auto"/>
      </w:divBdr>
    </w:div>
    <w:div w:id="568736684">
      <w:bodyDiv w:val="1"/>
      <w:marLeft w:val="0"/>
      <w:marRight w:val="0"/>
      <w:marTop w:val="0"/>
      <w:marBottom w:val="0"/>
      <w:divBdr>
        <w:top w:val="none" w:sz="0" w:space="0" w:color="auto"/>
        <w:left w:val="none" w:sz="0" w:space="0" w:color="auto"/>
        <w:bottom w:val="none" w:sz="0" w:space="0" w:color="auto"/>
        <w:right w:val="none" w:sz="0" w:space="0" w:color="auto"/>
      </w:divBdr>
    </w:div>
    <w:div w:id="576206939">
      <w:bodyDiv w:val="1"/>
      <w:marLeft w:val="0"/>
      <w:marRight w:val="0"/>
      <w:marTop w:val="0"/>
      <w:marBottom w:val="0"/>
      <w:divBdr>
        <w:top w:val="none" w:sz="0" w:space="0" w:color="auto"/>
        <w:left w:val="none" w:sz="0" w:space="0" w:color="auto"/>
        <w:bottom w:val="none" w:sz="0" w:space="0" w:color="auto"/>
        <w:right w:val="none" w:sz="0" w:space="0" w:color="auto"/>
      </w:divBdr>
    </w:div>
    <w:div w:id="578756472">
      <w:bodyDiv w:val="1"/>
      <w:marLeft w:val="0"/>
      <w:marRight w:val="0"/>
      <w:marTop w:val="0"/>
      <w:marBottom w:val="0"/>
      <w:divBdr>
        <w:top w:val="none" w:sz="0" w:space="0" w:color="auto"/>
        <w:left w:val="none" w:sz="0" w:space="0" w:color="auto"/>
        <w:bottom w:val="none" w:sz="0" w:space="0" w:color="auto"/>
        <w:right w:val="none" w:sz="0" w:space="0" w:color="auto"/>
      </w:divBdr>
    </w:div>
    <w:div w:id="589656084">
      <w:bodyDiv w:val="1"/>
      <w:marLeft w:val="0"/>
      <w:marRight w:val="0"/>
      <w:marTop w:val="0"/>
      <w:marBottom w:val="0"/>
      <w:divBdr>
        <w:top w:val="none" w:sz="0" w:space="0" w:color="auto"/>
        <w:left w:val="none" w:sz="0" w:space="0" w:color="auto"/>
        <w:bottom w:val="none" w:sz="0" w:space="0" w:color="auto"/>
        <w:right w:val="none" w:sz="0" w:space="0" w:color="auto"/>
      </w:divBdr>
    </w:div>
    <w:div w:id="593171931">
      <w:bodyDiv w:val="1"/>
      <w:marLeft w:val="0"/>
      <w:marRight w:val="0"/>
      <w:marTop w:val="0"/>
      <w:marBottom w:val="0"/>
      <w:divBdr>
        <w:top w:val="none" w:sz="0" w:space="0" w:color="auto"/>
        <w:left w:val="none" w:sz="0" w:space="0" w:color="auto"/>
        <w:bottom w:val="none" w:sz="0" w:space="0" w:color="auto"/>
        <w:right w:val="none" w:sz="0" w:space="0" w:color="auto"/>
      </w:divBdr>
    </w:div>
    <w:div w:id="609581505">
      <w:bodyDiv w:val="1"/>
      <w:marLeft w:val="0"/>
      <w:marRight w:val="0"/>
      <w:marTop w:val="0"/>
      <w:marBottom w:val="0"/>
      <w:divBdr>
        <w:top w:val="none" w:sz="0" w:space="0" w:color="auto"/>
        <w:left w:val="none" w:sz="0" w:space="0" w:color="auto"/>
        <w:bottom w:val="none" w:sz="0" w:space="0" w:color="auto"/>
        <w:right w:val="none" w:sz="0" w:space="0" w:color="auto"/>
      </w:divBdr>
    </w:div>
    <w:div w:id="612245488">
      <w:bodyDiv w:val="1"/>
      <w:marLeft w:val="0"/>
      <w:marRight w:val="0"/>
      <w:marTop w:val="0"/>
      <w:marBottom w:val="0"/>
      <w:divBdr>
        <w:top w:val="none" w:sz="0" w:space="0" w:color="auto"/>
        <w:left w:val="none" w:sz="0" w:space="0" w:color="auto"/>
        <w:bottom w:val="none" w:sz="0" w:space="0" w:color="auto"/>
        <w:right w:val="none" w:sz="0" w:space="0" w:color="auto"/>
      </w:divBdr>
    </w:div>
    <w:div w:id="630018225">
      <w:bodyDiv w:val="1"/>
      <w:marLeft w:val="0"/>
      <w:marRight w:val="0"/>
      <w:marTop w:val="0"/>
      <w:marBottom w:val="0"/>
      <w:divBdr>
        <w:top w:val="none" w:sz="0" w:space="0" w:color="auto"/>
        <w:left w:val="none" w:sz="0" w:space="0" w:color="auto"/>
        <w:bottom w:val="none" w:sz="0" w:space="0" w:color="auto"/>
        <w:right w:val="none" w:sz="0" w:space="0" w:color="auto"/>
      </w:divBdr>
    </w:div>
    <w:div w:id="687408583">
      <w:bodyDiv w:val="1"/>
      <w:marLeft w:val="0"/>
      <w:marRight w:val="0"/>
      <w:marTop w:val="0"/>
      <w:marBottom w:val="0"/>
      <w:divBdr>
        <w:top w:val="none" w:sz="0" w:space="0" w:color="auto"/>
        <w:left w:val="none" w:sz="0" w:space="0" w:color="auto"/>
        <w:bottom w:val="none" w:sz="0" w:space="0" w:color="auto"/>
        <w:right w:val="none" w:sz="0" w:space="0" w:color="auto"/>
      </w:divBdr>
    </w:div>
    <w:div w:id="717895756">
      <w:bodyDiv w:val="1"/>
      <w:marLeft w:val="0"/>
      <w:marRight w:val="0"/>
      <w:marTop w:val="0"/>
      <w:marBottom w:val="0"/>
      <w:divBdr>
        <w:top w:val="none" w:sz="0" w:space="0" w:color="auto"/>
        <w:left w:val="none" w:sz="0" w:space="0" w:color="auto"/>
        <w:bottom w:val="none" w:sz="0" w:space="0" w:color="auto"/>
        <w:right w:val="none" w:sz="0" w:space="0" w:color="auto"/>
      </w:divBdr>
    </w:div>
    <w:div w:id="792479155">
      <w:bodyDiv w:val="1"/>
      <w:marLeft w:val="0"/>
      <w:marRight w:val="0"/>
      <w:marTop w:val="0"/>
      <w:marBottom w:val="0"/>
      <w:divBdr>
        <w:top w:val="none" w:sz="0" w:space="0" w:color="auto"/>
        <w:left w:val="none" w:sz="0" w:space="0" w:color="auto"/>
        <w:bottom w:val="none" w:sz="0" w:space="0" w:color="auto"/>
        <w:right w:val="none" w:sz="0" w:space="0" w:color="auto"/>
      </w:divBdr>
    </w:div>
    <w:div w:id="798107935">
      <w:bodyDiv w:val="1"/>
      <w:marLeft w:val="0"/>
      <w:marRight w:val="0"/>
      <w:marTop w:val="0"/>
      <w:marBottom w:val="0"/>
      <w:divBdr>
        <w:top w:val="none" w:sz="0" w:space="0" w:color="auto"/>
        <w:left w:val="none" w:sz="0" w:space="0" w:color="auto"/>
        <w:bottom w:val="none" w:sz="0" w:space="0" w:color="auto"/>
        <w:right w:val="none" w:sz="0" w:space="0" w:color="auto"/>
      </w:divBdr>
    </w:div>
    <w:div w:id="854533525">
      <w:bodyDiv w:val="1"/>
      <w:marLeft w:val="0"/>
      <w:marRight w:val="0"/>
      <w:marTop w:val="0"/>
      <w:marBottom w:val="0"/>
      <w:divBdr>
        <w:top w:val="none" w:sz="0" w:space="0" w:color="auto"/>
        <w:left w:val="none" w:sz="0" w:space="0" w:color="auto"/>
        <w:bottom w:val="none" w:sz="0" w:space="0" w:color="auto"/>
        <w:right w:val="none" w:sz="0" w:space="0" w:color="auto"/>
      </w:divBdr>
    </w:div>
    <w:div w:id="870267831">
      <w:bodyDiv w:val="1"/>
      <w:marLeft w:val="0"/>
      <w:marRight w:val="0"/>
      <w:marTop w:val="0"/>
      <w:marBottom w:val="0"/>
      <w:divBdr>
        <w:top w:val="none" w:sz="0" w:space="0" w:color="auto"/>
        <w:left w:val="none" w:sz="0" w:space="0" w:color="auto"/>
        <w:bottom w:val="none" w:sz="0" w:space="0" w:color="auto"/>
        <w:right w:val="none" w:sz="0" w:space="0" w:color="auto"/>
      </w:divBdr>
    </w:div>
    <w:div w:id="881134724">
      <w:bodyDiv w:val="1"/>
      <w:marLeft w:val="0"/>
      <w:marRight w:val="0"/>
      <w:marTop w:val="0"/>
      <w:marBottom w:val="0"/>
      <w:divBdr>
        <w:top w:val="none" w:sz="0" w:space="0" w:color="auto"/>
        <w:left w:val="none" w:sz="0" w:space="0" w:color="auto"/>
        <w:bottom w:val="none" w:sz="0" w:space="0" w:color="auto"/>
        <w:right w:val="none" w:sz="0" w:space="0" w:color="auto"/>
      </w:divBdr>
    </w:div>
    <w:div w:id="897983850">
      <w:bodyDiv w:val="1"/>
      <w:marLeft w:val="0"/>
      <w:marRight w:val="0"/>
      <w:marTop w:val="0"/>
      <w:marBottom w:val="0"/>
      <w:divBdr>
        <w:top w:val="none" w:sz="0" w:space="0" w:color="auto"/>
        <w:left w:val="none" w:sz="0" w:space="0" w:color="auto"/>
        <w:bottom w:val="none" w:sz="0" w:space="0" w:color="auto"/>
        <w:right w:val="none" w:sz="0" w:space="0" w:color="auto"/>
      </w:divBdr>
    </w:div>
    <w:div w:id="916868036">
      <w:bodyDiv w:val="1"/>
      <w:marLeft w:val="0"/>
      <w:marRight w:val="0"/>
      <w:marTop w:val="0"/>
      <w:marBottom w:val="0"/>
      <w:divBdr>
        <w:top w:val="none" w:sz="0" w:space="0" w:color="auto"/>
        <w:left w:val="none" w:sz="0" w:space="0" w:color="auto"/>
        <w:bottom w:val="none" w:sz="0" w:space="0" w:color="auto"/>
        <w:right w:val="none" w:sz="0" w:space="0" w:color="auto"/>
      </w:divBdr>
    </w:div>
    <w:div w:id="985931620">
      <w:bodyDiv w:val="1"/>
      <w:marLeft w:val="0"/>
      <w:marRight w:val="0"/>
      <w:marTop w:val="0"/>
      <w:marBottom w:val="0"/>
      <w:divBdr>
        <w:top w:val="none" w:sz="0" w:space="0" w:color="auto"/>
        <w:left w:val="none" w:sz="0" w:space="0" w:color="auto"/>
        <w:bottom w:val="none" w:sz="0" w:space="0" w:color="auto"/>
        <w:right w:val="none" w:sz="0" w:space="0" w:color="auto"/>
      </w:divBdr>
    </w:div>
    <w:div w:id="989553082">
      <w:bodyDiv w:val="1"/>
      <w:marLeft w:val="0"/>
      <w:marRight w:val="0"/>
      <w:marTop w:val="0"/>
      <w:marBottom w:val="0"/>
      <w:divBdr>
        <w:top w:val="none" w:sz="0" w:space="0" w:color="auto"/>
        <w:left w:val="none" w:sz="0" w:space="0" w:color="auto"/>
        <w:bottom w:val="none" w:sz="0" w:space="0" w:color="auto"/>
        <w:right w:val="none" w:sz="0" w:space="0" w:color="auto"/>
      </w:divBdr>
    </w:div>
    <w:div w:id="993141767">
      <w:bodyDiv w:val="1"/>
      <w:marLeft w:val="0"/>
      <w:marRight w:val="0"/>
      <w:marTop w:val="0"/>
      <w:marBottom w:val="0"/>
      <w:divBdr>
        <w:top w:val="none" w:sz="0" w:space="0" w:color="auto"/>
        <w:left w:val="none" w:sz="0" w:space="0" w:color="auto"/>
        <w:bottom w:val="none" w:sz="0" w:space="0" w:color="auto"/>
        <w:right w:val="none" w:sz="0" w:space="0" w:color="auto"/>
      </w:divBdr>
    </w:div>
    <w:div w:id="1013848898">
      <w:bodyDiv w:val="1"/>
      <w:marLeft w:val="0"/>
      <w:marRight w:val="0"/>
      <w:marTop w:val="0"/>
      <w:marBottom w:val="0"/>
      <w:divBdr>
        <w:top w:val="none" w:sz="0" w:space="0" w:color="auto"/>
        <w:left w:val="none" w:sz="0" w:space="0" w:color="auto"/>
        <w:bottom w:val="none" w:sz="0" w:space="0" w:color="auto"/>
        <w:right w:val="none" w:sz="0" w:space="0" w:color="auto"/>
      </w:divBdr>
    </w:div>
    <w:div w:id="1033461253">
      <w:bodyDiv w:val="1"/>
      <w:marLeft w:val="0"/>
      <w:marRight w:val="0"/>
      <w:marTop w:val="0"/>
      <w:marBottom w:val="0"/>
      <w:divBdr>
        <w:top w:val="none" w:sz="0" w:space="0" w:color="auto"/>
        <w:left w:val="none" w:sz="0" w:space="0" w:color="auto"/>
        <w:bottom w:val="none" w:sz="0" w:space="0" w:color="auto"/>
        <w:right w:val="none" w:sz="0" w:space="0" w:color="auto"/>
      </w:divBdr>
    </w:div>
    <w:div w:id="1191189751">
      <w:bodyDiv w:val="1"/>
      <w:marLeft w:val="0"/>
      <w:marRight w:val="0"/>
      <w:marTop w:val="0"/>
      <w:marBottom w:val="0"/>
      <w:divBdr>
        <w:top w:val="none" w:sz="0" w:space="0" w:color="auto"/>
        <w:left w:val="none" w:sz="0" w:space="0" w:color="auto"/>
        <w:bottom w:val="none" w:sz="0" w:space="0" w:color="auto"/>
        <w:right w:val="none" w:sz="0" w:space="0" w:color="auto"/>
      </w:divBdr>
    </w:div>
    <w:div w:id="1219584524">
      <w:bodyDiv w:val="1"/>
      <w:marLeft w:val="0"/>
      <w:marRight w:val="0"/>
      <w:marTop w:val="0"/>
      <w:marBottom w:val="0"/>
      <w:divBdr>
        <w:top w:val="none" w:sz="0" w:space="0" w:color="auto"/>
        <w:left w:val="none" w:sz="0" w:space="0" w:color="auto"/>
        <w:bottom w:val="none" w:sz="0" w:space="0" w:color="auto"/>
        <w:right w:val="none" w:sz="0" w:space="0" w:color="auto"/>
      </w:divBdr>
    </w:div>
    <w:div w:id="1223642484">
      <w:bodyDiv w:val="1"/>
      <w:marLeft w:val="0"/>
      <w:marRight w:val="0"/>
      <w:marTop w:val="0"/>
      <w:marBottom w:val="0"/>
      <w:divBdr>
        <w:top w:val="none" w:sz="0" w:space="0" w:color="auto"/>
        <w:left w:val="none" w:sz="0" w:space="0" w:color="auto"/>
        <w:bottom w:val="none" w:sz="0" w:space="0" w:color="auto"/>
        <w:right w:val="none" w:sz="0" w:space="0" w:color="auto"/>
      </w:divBdr>
    </w:div>
    <w:div w:id="1356006775">
      <w:bodyDiv w:val="1"/>
      <w:marLeft w:val="0"/>
      <w:marRight w:val="0"/>
      <w:marTop w:val="0"/>
      <w:marBottom w:val="0"/>
      <w:divBdr>
        <w:top w:val="none" w:sz="0" w:space="0" w:color="auto"/>
        <w:left w:val="none" w:sz="0" w:space="0" w:color="auto"/>
        <w:bottom w:val="none" w:sz="0" w:space="0" w:color="auto"/>
        <w:right w:val="none" w:sz="0" w:space="0" w:color="auto"/>
      </w:divBdr>
    </w:div>
    <w:div w:id="1418789791">
      <w:bodyDiv w:val="1"/>
      <w:marLeft w:val="0"/>
      <w:marRight w:val="0"/>
      <w:marTop w:val="0"/>
      <w:marBottom w:val="0"/>
      <w:divBdr>
        <w:top w:val="none" w:sz="0" w:space="0" w:color="auto"/>
        <w:left w:val="none" w:sz="0" w:space="0" w:color="auto"/>
        <w:bottom w:val="none" w:sz="0" w:space="0" w:color="auto"/>
        <w:right w:val="none" w:sz="0" w:space="0" w:color="auto"/>
      </w:divBdr>
    </w:div>
    <w:div w:id="1425346656">
      <w:bodyDiv w:val="1"/>
      <w:marLeft w:val="0"/>
      <w:marRight w:val="0"/>
      <w:marTop w:val="0"/>
      <w:marBottom w:val="0"/>
      <w:divBdr>
        <w:top w:val="none" w:sz="0" w:space="0" w:color="auto"/>
        <w:left w:val="none" w:sz="0" w:space="0" w:color="auto"/>
        <w:bottom w:val="none" w:sz="0" w:space="0" w:color="auto"/>
        <w:right w:val="none" w:sz="0" w:space="0" w:color="auto"/>
      </w:divBdr>
    </w:div>
    <w:div w:id="1445074366">
      <w:bodyDiv w:val="1"/>
      <w:marLeft w:val="0"/>
      <w:marRight w:val="0"/>
      <w:marTop w:val="0"/>
      <w:marBottom w:val="0"/>
      <w:divBdr>
        <w:top w:val="none" w:sz="0" w:space="0" w:color="auto"/>
        <w:left w:val="none" w:sz="0" w:space="0" w:color="auto"/>
        <w:bottom w:val="none" w:sz="0" w:space="0" w:color="auto"/>
        <w:right w:val="none" w:sz="0" w:space="0" w:color="auto"/>
      </w:divBdr>
    </w:div>
    <w:div w:id="1458601777">
      <w:bodyDiv w:val="1"/>
      <w:marLeft w:val="0"/>
      <w:marRight w:val="0"/>
      <w:marTop w:val="0"/>
      <w:marBottom w:val="0"/>
      <w:divBdr>
        <w:top w:val="none" w:sz="0" w:space="0" w:color="auto"/>
        <w:left w:val="none" w:sz="0" w:space="0" w:color="auto"/>
        <w:bottom w:val="none" w:sz="0" w:space="0" w:color="auto"/>
        <w:right w:val="none" w:sz="0" w:space="0" w:color="auto"/>
      </w:divBdr>
    </w:div>
    <w:div w:id="1460802179">
      <w:bodyDiv w:val="1"/>
      <w:marLeft w:val="0"/>
      <w:marRight w:val="0"/>
      <w:marTop w:val="0"/>
      <w:marBottom w:val="0"/>
      <w:divBdr>
        <w:top w:val="none" w:sz="0" w:space="0" w:color="auto"/>
        <w:left w:val="none" w:sz="0" w:space="0" w:color="auto"/>
        <w:bottom w:val="none" w:sz="0" w:space="0" w:color="auto"/>
        <w:right w:val="none" w:sz="0" w:space="0" w:color="auto"/>
      </w:divBdr>
    </w:div>
    <w:div w:id="1461991941">
      <w:bodyDiv w:val="1"/>
      <w:marLeft w:val="0"/>
      <w:marRight w:val="0"/>
      <w:marTop w:val="0"/>
      <w:marBottom w:val="0"/>
      <w:divBdr>
        <w:top w:val="none" w:sz="0" w:space="0" w:color="auto"/>
        <w:left w:val="none" w:sz="0" w:space="0" w:color="auto"/>
        <w:bottom w:val="none" w:sz="0" w:space="0" w:color="auto"/>
        <w:right w:val="none" w:sz="0" w:space="0" w:color="auto"/>
      </w:divBdr>
    </w:div>
    <w:div w:id="1469516791">
      <w:bodyDiv w:val="1"/>
      <w:marLeft w:val="0"/>
      <w:marRight w:val="0"/>
      <w:marTop w:val="0"/>
      <w:marBottom w:val="0"/>
      <w:divBdr>
        <w:top w:val="none" w:sz="0" w:space="0" w:color="auto"/>
        <w:left w:val="none" w:sz="0" w:space="0" w:color="auto"/>
        <w:bottom w:val="none" w:sz="0" w:space="0" w:color="auto"/>
        <w:right w:val="none" w:sz="0" w:space="0" w:color="auto"/>
      </w:divBdr>
    </w:div>
    <w:div w:id="1482043362">
      <w:bodyDiv w:val="1"/>
      <w:marLeft w:val="0"/>
      <w:marRight w:val="0"/>
      <w:marTop w:val="0"/>
      <w:marBottom w:val="0"/>
      <w:divBdr>
        <w:top w:val="none" w:sz="0" w:space="0" w:color="auto"/>
        <w:left w:val="none" w:sz="0" w:space="0" w:color="auto"/>
        <w:bottom w:val="none" w:sz="0" w:space="0" w:color="auto"/>
        <w:right w:val="none" w:sz="0" w:space="0" w:color="auto"/>
      </w:divBdr>
    </w:div>
    <w:div w:id="1587231486">
      <w:bodyDiv w:val="1"/>
      <w:marLeft w:val="0"/>
      <w:marRight w:val="0"/>
      <w:marTop w:val="0"/>
      <w:marBottom w:val="0"/>
      <w:divBdr>
        <w:top w:val="none" w:sz="0" w:space="0" w:color="auto"/>
        <w:left w:val="none" w:sz="0" w:space="0" w:color="auto"/>
        <w:bottom w:val="none" w:sz="0" w:space="0" w:color="auto"/>
        <w:right w:val="none" w:sz="0" w:space="0" w:color="auto"/>
      </w:divBdr>
    </w:div>
    <w:div w:id="1595091303">
      <w:bodyDiv w:val="1"/>
      <w:marLeft w:val="0"/>
      <w:marRight w:val="0"/>
      <w:marTop w:val="0"/>
      <w:marBottom w:val="0"/>
      <w:divBdr>
        <w:top w:val="none" w:sz="0" w:space="0" w:color="auto"/>
        <w:left w:val="none" w:sz="0" w:space="0" w:color="auto"/>
        <w:bottom w:val="none" w:sz="0" w:space="0" w:color="auto"/>
        <w:right w:val="none" w:sz="0" w:space="0" w:color="auto"/>
      </w:divBdr>
    </w:div>
    <w:div w:id="1596131599">
      <w:bodyDiv w:val="1"/>
      <w:marLeft w:val="0"/>
      <w:marRight w:val="0"/>
      <w:marTop w:val="0"/>
      <w:marBottom w:val="0"/>
      <w:divBdr>
        <w:top w:val="none" w:sz="0" w:space="0" w:color="auto"/>
        <w:left w:val="none" w:sz="0" w:space="0" w:color="auto"/>
        <w:bottom w:val="none" w:sz="0" w:space="0" w:color="auto"/>
        <w:right w:val="none" w:sz="0" w:space="0" w:color="auto"/>
      </w:divBdr>
    </w:div>
    <w:div w:id="1619489292">
      <w:bodyDiv w:val="1"/>
      <w:marLeft w:val="0"/>
      <w:marRight w:val="0"/>
      <w:marTop w:val="0"/>
      <w:marBottom w:val="0"/>
      <w:divBdr>
        <w:top w:val="none" w:sz="0" w:space="0" w:color="auto"/>
        <w:left w:val="none" w:sz="0" w:space="0" w:color="auto"/>
        <w:bottom w:val="none" w:sz="0" w:space="0" w:color="auto"/>
        <w:right w:val="none" w:sz="0" w:space="0" w:color="auto"/>
      </w:divBdr>
    </w:div>
    <w:div w:id="1644889817">
      <w:bodyDiv w:val="1"/>
      <w:marLeft w:val="0"/>
      <w:marRight w:val="0"/>
      <w:marTop w:val="0"/>
      <w:marBottom w:val="0"/>
      <w:divBdr>
        <w:top w:val="none" w:sz="0" w:space="0" w:color="auto"/>
        <w:left w:val="none" w:sz="0" w:space="0" w:color="auto"/>
        <w:bottom w:val="none" w:sz="0" w:space="0" w:color="auto"/>
        <w:right w:val="none" w:sz="0" w:space="0" w:color="auto"/>
      </w:divBdr>
    </w:div>
    <w:div w:id="1662662064">
      <w:bodyDiv w:val="1"/>
      <w:marLeft w:val="0"/>
      <w:marRight w:val="0"/>
      <w:marTop w:val="0"/>
      <w:marBottom w:val="0"/>
      <w:divBdr>
        <w:top w:val="none" w:sz="0" w:space="0" w:color="auto"/>
        <w:left w:val="none" w:sz="0" w:space="0" w:color="auto"/>
        <w:bottom w:val="none" w:sz="0" w:space="0" w:color="auto"/>
        <w:right w:val="none" w:sz="0" w:space="0" w:color="auto"/>
      </w:divBdr>
    </w:div>
    <w:div w:id="1674718284">
      <w:bodyDiv w:val="1"/>
      <w:marLeft w:val="0"/>
      <w:marRight w:val="0"/>
      <w:marTop w:val="0"/>
      <w:marBottom w:val="0"/>
      <w:divBdr>
        <w:top w:val="none" w:sz="0" w:space="0" w:color="auto"/>
        <w:left w:val="none" w:sz="0" w:space="0" w:color="auto"/>
        <w:bottom w:val="none" w:sz="0" w:space="0" w:color="auto"/>
        <w:right w:val="none" w:sz="0" w:space="0" w:color="auto"/>
      </w:divBdr>
    </w:div>
    <w:div w:id="1688753316">
      <w:bodyDiv w:val="1"/>
      <w:marLeft w:val="0"/>
      <w:marRight w:val="0"/>
      <w:marTop w:val="0"/>
      <w:marBottom w:val="0"/>
      <w:divBdr>
        <w:top w:val="none" w:sz="0" w:space="0" w:color="auto"/>
        <w:left w:val="none" w:sz="0" w:space="0" w:color="auto"/>
        <w:bottom w:val="none" w:sz="0" w:space="0" w:color="auto"/>
        <w:right w:val="none" w:sz="0" w:space="0" w:color="auto"/>
      </w:divBdr>
    </w:div>
    <w:div w:id="1700618821">
      <w:bodyDiv w:val="1"/>
      <w:marLeft w:val="0"/>
      <w:marRight w:val="0"/>
      <w:marTop w:val="0"/>
      <w:marBottom w:val="0"/>
      <w:divBdr>
        <w:top w:val="none" w:sz="0" w:space="0" w:color="auto"/>
        <w:left w:val="none" w:sz="0" w:space="0" w:color="auto"/>
        <w:bottom w:val="none" w:sz="0" w:space="0" w:color="auto"/>
        <w:right w:val="none" w:sz="0" w:space="0" w:color="auto"/>
      </w:divBdr>
    </w:div>
    <w:div w:id="1781488187">
      <w:bodyDiv w:val="1"/>
      <w:marLeft w:val="0"/>
      <w:marRight w:val="0"/>
      <w:marTop w:val="0"/>
      <w:marBottom w:val="0"/>
      <w:divBdr>
        <w:top w:val="none" w:sz="0" w:space="0" w:color="auto"/>
        <w:left w:val="none" w:sz="0" w:space="0" w:color="auto"/>
        <w:bottom w:val="none" w:sz="0" w:space="0" w:color="auto"/>
        <w:right w:val="none" w:sz="0" w:space="0" w:color="auto"/>
      </w:divBdr>
    </w:div>
    <w:div w:id="1910772712">
      <w:bodyDiv w:val="1"/>
      <w:marLeft w:val="0"/>
      <w:marRight w:val="0"/>
      <w:marTop w:val="0"/>
      <w:marBottom w:val="0"/>
      <w:divBdr>
        <w:top w:val="none" w:sz="0" w:space="0" w:color="auto"/>
        <w:left w:val="none" w:sz="0" w:space="0" w:color="auto"/>
        <w:bottom w:val="none" w:sz="0" w:space="0" w:color="auto"/>
        <w:right w:val="none" w:sz="0" w:space="0" w:color="auto"/>
      </w:divBdr>
    </w:div>
    <w:div w:id="1941178959">
      <w:bodyDiv w:val="1"/>
      <w:marLeft w:val="0"/>
      <w:marRight w:val="0"/>
      <w:marTop w:val="0"/>
      <w:marBottom w:val="0"/>
      <w:divBdr>
        <w:top w:val="none" w:sz="0" w:space="0" w:color="auto"/>
        <w:left w:val="none" w:sz="0" w:space="0" w:color="auto"/>
        <w:bottom w:val="none" w:sz="0" w:space="0" w:color="auto"/>
        <w:right w:val="none" w:sz="0" w:space="0" w:color="auto"/>
      </w:divBdr>
    </w:div>
    <w:div w:id="1970160339">
      <w:bodyDiv w:val="1"/>
      <w:marLeft w:val="0"/>
      <w:marRight w:val="0"/>
      <w:marTop w:val="0"/>
      <w:marBottom w:val="0"/>
      <w:divBdr>
        <w:top w:val="none" w:sz="0" w:space="0" w:color="auto"/>
        <w:left w:val="none" w:sz="0" w:space="0" w:color="auto"/>
        <w:bottom w:val="none" w:sz="0" w:space="0" w:color="auto"/>
        <w:right w:val="none" w:sz="0" w:space="0" w:color="auto"/>
      </w:divBdr>
    </w:div>
    <w:div w:id="2071153581">
      <w:bodyDiv w:val="1"/>
      <w:marLeft w:val="0"/>
      <w:marRight w:val="0"/>
      <w:marTop w:val="0"/>
      <w:marBottom w:val="0"/>
      <w:divBdr>
        <w:top w:val="none" w:sz="0" w:space="0" w:color="auto"/>
        <w:left w:val="none" w:sz="0" w:space="0" w:color="auto"/>
        <w:bottom w:val="none" w:sz="0" w:space="0" w:color="auto"/>
        <w:right w:val="none" w:sz="0" w:space="0" w:color="auto"/>
      </w:divBdr>
    </w:div>
    <w:div w:id="20712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nisgaa.bc.ca"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nisgaa.bc.ca" TargetMode="Externa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F4DE15-09D0-46D6-B92B-559B5ECB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Office of the Auditor General</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 Paliappa</dc:creator>
  <cp:keywords/>
  <dc:description/>
  <cp:lastModifiedBy>Paul Mercer</cp:lastModifiedBy>
  <cp:revision>4</cp:revision>
  <cp:lastPrinted>2022-09-06T22:29:00Z</cp:lastPrinted>
  <dcterms:created xsi:type="dcterms:W3CDTF">2024-09-24T17:19:00Z</dcterms:created>
  <dcterms:modified xsi:type="dcterms:W3CDTF">2024-09-24T17:20:00Z</dcterms:modified>
</cp:coreProperties>
</file>